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183/</w:t>
      </w:r>
      <w:r w:rsidR="00F42394">
        <w:rPr>
          <w:rFonts w:ascii="Book Antiqua" w:hAnsi="Book Antiqua" w:cs="Calibri"/>
          <w:bCs/>
          <w:color w:val="000000"/>
          <w:szCs w:val="20"/>
        </w:rPr>
        <w:t>Analytical Gases/2014-15</w:t>
      </w:r>
      <w:r w:rsidR="007E1AE4">
        <w:rPr>
          <w:rFonts w:ascii="Book Antiqua" w:hAnsi="Book Antiqua" w:cs="Calibri"/>
          <w:bCs/>
          <w:color w:val="000000"/>
          <w:szCs w:val="20"/>
        </w:rPr>
        <w:t>/</w:t>
      </w:r>
      <w:r w:rsidR="00AC48C9">
        <w:rPr>
          <w:rFonts w:ascii="Book Antiqua" w:hAnsi="Book Antiqua" w:cs="Calibri"/>
          <w:bCs/>
          <w:color w:val="000000"/>
          <w:szCs w:val="20"/>
        </w:rPr>
        <w:t>03</w:t>
      </w:r>
      <w:r w:rsidRPr="00FA3B46">
        <w:rPr>
          <w:rFonts w:ascii="Book Antiqua" w:hAnsi="Book Antiqua" w:cs="Calibri"/>
          <w:bCs/>
          <w:szCs w:val="20"/>
        </w:rPr>
        <w:t xml:space="preserve">    </w:t>
      </w:r>
      <w:r>
        <w:rPr>
          <w:rFonts w:ascii="Book Antiqua" w:hAnsi="Book Antiqua" w:cs="Calibri"/>
          <w:bCs/>
          <w:szCs w:val="20"/>
        </w:rPr>
        <w:t xml:space="preserve">       </w:t>
      </w:r>
      <w:r w:rsidR="008B10F4">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8B10F4">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0134CB">
        <w:rPr>
          <w:rFonts w:ascii="Book Antiqua" w:hAnsi="Book Antiqua" w:cs="Calibri"/>
          <w:bCs/>
          <w:szCs w:val="20"/>
        </w:rPr>
        <w:t>1</w:t>
      </w:r>
      <w:r w:rsidR="00AC48C9">
        <w:rPr>
          <w:rFonts w:ascii="Book Antiqua" w:hAnsi="Book Antiqua" w:cs="Calibri"/>
          <w:bCs/>
          <w:szCs w:val="20"/>
        </w:rPr>
        <w:t>8</w:t>
      </w:r>
      <w:r w:rsidRPr="00FA3B46">
        <w:rPr>
          <w:rFonts w:ascii="Book Antiqua" w:hAnsi="Book Antiqua" w:cs="Calibri"/>
          <w:bCs/>
          <w:szCs w:val="20"/>
        </w:rPr>
        <w:t>-</w:t>
      </w:r>
      <w:r w:rsidR="00203C6D">
        <w:rPr>
          <w:rFonts w:ascii="Book Antiqua" w:hAnsi="Book Antiqua" w:cs="Calibri"/>
          <w:bCs/>
          <w:szCs w:val="20"/>
        </w:rPr>
        <w:t>6</w:t>
      </w:r>
      <w:r w:rsidRPr="00FA3B46">
        <w:rPr>
          <w:rFonts w:ascii="Book Antiqua" w:hAnsi="Book Antiqua" w:cs="Calibri"/>
          <w:bCs/>
          <w:szCs w:val="20"/>
        </w:rPr>
        <w:t>-201</w:t>
      </w:r>
      <w:r>
        <w:rPr>
          <w:rFonts w:ascii="Book Antiqua" w:hAnsi="Book Antiqua" w:cs="Calibri"/>
          <w:bCs/>
          <w:szCs w:val="20"/>
        </w:rPr>
        <w:t>4</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0"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Analytical Gases </w:t>
      </w:r>
      <w:r w:rsidR="00583129">
        <w:rPr>
          <w:rFonts w:asciiTheme="minorHAnsi" w:hAnsiTheme="minorHAnsi"/>
        </w:rPr>
        <w:t xml:space="preserve">under </w:t>
      </w:r>
      <w:r w:rsidR="00583129" w:rsidRPr="003B5526">
        <w:rPr>
          <w:rFonts w:asciiTheme="minorHAnsi" w:hAnsiTheme="minorHAnsi"/>
        </w:rPr>
        <w:t xml:space="preserve">Rate Contract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Analytical Gases under </w:t>
      </w:r>
      <w:r w:rsidRPr="003B5526">
        <w:rPr>
          <w:rFonts w:asciiTheme="minorHAnsi" w:hAnsiTheme="minorHAnsi"/>
          <w:b/>
        </w:rPr>
        <w:t>Rate Contract</w:t>
      </w:r>
      <w:r w:rsidR="00583129">
        <w:rPr>
          <w:rFonts w:asciiTheme="minorHAnsi" w:hAnsiTheme="minorHAnsi"/>
          <w:b/>
        </w:rPr>
        <w:t xml:space="preserve"> for the year 2014-15</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 xml:space="preserve">under ‘Two cover system’ </w:t>
      </w:r>
      <w:r w:rsidRPr="003B5526">
        <w:rPr>
          <w:rFonts w:asciiTheme="minorHAnsi" w:hAnsiTheme="minorHAnsi"/>
        </w:rPr>
        <w:t>from the reputed manufacturers/authorized distributors/dealers for supply of Analytical Gases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C03A70" w:rsidRPr="003B5526">
        <w:rPr>
          <w:rFonts w:asciiTheme="minorHAnsi" w:hAnsiTheme="minorHAnsi"/>
        </w:rPr>
        <w:t>One year from the date of agreement</w:t>
      </w:r>
      <w:r w:rsidRPr="003B5526">
        <w:rPr>
          <w:rFonts w:asciiTheme="minorHAnsi" w:hAnsiTheme="minorHAnsi"/>
        </w:rPr>
        <w:t xml:space="preserve">. 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bids </w:t>
      </w:r>
      <w:r w:rsidRPr="003B5526">
        <w:rPr>
          <w:rFonts w:asciiTheme="minorHAnsi" w:hAnsiTheme="minorHAnsi"/>
        </w:rPr>
        <w:tab/>
        <w:t>::</w:t>
      </w:r>
      <w:r w:rsidRPr="003B5526">
        <w:rPr>
          <w:rFonts w:asciiTheme="minorHAnsi" w:hAnsiTheme="minorHAnsi"/>
        </w:rPr>
        <w:tab/>
        <w:t>1</w:t>
      </w:r>
      <w:r w:rsidR="003A7210">
        <w:rPr>
          <w:rFonts w:asciiTheme="minorHAnsi" w:hAnsiTheme="minorHAnsi"/>
        </w:rPr>
        <w:t>5</w:t>
      </w:r>
      <w:r w:rsidRPr="003B5526">
        <w:rPr>
          <w:rFonts w:asciiTheme="minorHAnsi" w:hAnsiTheme="minorHAnsi"/>
        </w:rPr>
        <w:t>:00 hrs on</w:t>
      </w:r>
      <w:r w:rsidR="00AC48C9">
        <w:rPr>
          <w:rFonts w:asciiTheme="minorHAnsi" w:hAnsiTheme="minorHAnsi"/>
        </w:rPr>
        <w:t xml:space="preserve"> </w:t>
      </w:r>
      <w:r w:rsidR="003A7210">
        <w:rPr>
          <w:rFonts w:asciiTheme="minorHAnsi" w:hAnsiTheme="minorHAnsi"/>
        </w:rPr>
        <w:t>03</w:t>
      </w:r>
      <w:r w:rsidR="00AC48C9">
        <w:rPr>
          <w:rFonts w:asciiTheme="minorHAnsi" w:hAnsiTheme="minorHAnsi"/>
        </w:rPr>
        <w:t>-</w:t>
      </w:r>
      <w:r w:rsidR="003A7210">
        <w:rPr>
          <w:rFonts w:asciiTheme="minorHAnsi" w:hAnsiTheme="minorHAnsi"/>
        </w:rPr>
        <w:t>7</w:t>
      </w:r>
      <w:r w:rsidR="00AC48C9">
        <w:rPr>
          <w:rFonts w:asciiTheme="minorHAnsi" w:hAnsiTheme="minorHAnsi"/>
        </w:rPr>
        <w:t>-2014</w:t>
      </w:r>
      <w:r w:rsidR="007E1AE4">
        <w:rPr>
          <w:rFonts w:asciiTheme="minorHAnsi" w:hAnsiTheme="minorHAnsi"/>
        </w:rPr>
        <w:t xml:space="preserve"> </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r w:rsidRPr="003B5526">
        <w:rPr>
          <w:rFonts w:asciiTheme="minorHAnsi" w:hAnsiTheme="minorHAnsi"/>
        </w:rPr>
        <w:tab/>
      </w:r>
      <w:r w:rsidRPr="003B5526">
        <w:rPr>
          <w:rFonts w:asciiTheme="minorHAnsi" w:hAnsiTheme="minorHAnsi"/>
        </w:rPr>
        <w:tab/>
        <w:t>::</w:t>
      </w:r>
      <w:r w:rsidRPr="003B5526">
        <w:rPr>
          <w:rFonts w:asciiTheme="minorHAnsi" w:hAnsiTheme="minorHAnsi"/>
        </w:rPr>
        <w:tab/>
        <w:t>1</w:t>
      </w:r>
      <w:r w:rsidR="003A7210">
        <w:rPr>
          <w:rFonts w:asciiTheme="minorHAnsi" w:hAnsiTheme="minorHAnsi"/>
        </w:rPr>
        <w:t>6</w:t>
      </w:r>
      <w:r w:rsidRPr="003B5526">
        <w:rPr>
          <w:rFonts w:asciiTheme="minorHAnsi" w:hAnsiTheme="minorHAnsi"/>
        </w:rPr>
        <w:t>:00 hrs on</w:t>
      </w:r>
      <w:r w:rsidR="007E1AE4">
        <w:rPr>
          <w:rFonts w:asciiTheme="minorHAnsi" w:hAnsiTheme="minorHAnsi"/>
        </w:rPr>
        <w:t xml:space="preserve"> </w:t>
      </w:r>
      <w:r w:rsidR="003A7210">
        <w:rPr>
          <w:rFonts w:asciiTheme="minorHAnsi" w:hAnsiTheme="minorHAnsi"/>
        </w:rPr>
        <w:t>03</w:t>
      </w:r>
      <w:r w:rsidR="00AC48C9">
        <w:rPr>
          <w:rFonts w:asciiTheme="minorHAnsi" w:hAnsiTheme="minorHAnsi"/>
        </w:rPr>
        <w:t>-</w:t>
      </w:r>
      <w:r w:rsidR="003A7210">
        <w:rPr>
          <w:rFonts w:asciiTheme="minorHAnsi" w:hAnsiTheme="minorHAnsi"/>
        </w:rPr>
        <w:t>7</w:t>
      </w:r>
      <w:r w:rsidR="00AC48C9">
        <w:rPr>
          <w:rFonts w:asciiTheme="minorHAnsi" w:hAnsiTheme="minorHAnsi"/>
        </w:rPr>
        <w:t>-2014</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CF20FB" w:rsidRPr="003B5526">
        <w:rPr>
          <w:rFonts w:asciiTheme="minorHAnsi" w:hAnsiTheme="minorHAnsi" w:cs="Arial"/>
          <w:b/>
          <w:bCs/>
          <w:sz w:val="22"/>
          <w:szCs w:val="22"/>
        </w:rPr>
        <w:t>Er. G. SHANKAR)</w:t>
      </w:r>
    </w:p>
    <w:p w:rsidR="00D80C66" w:rsidRPr="003B5526" w:rsidRDefault="00D80C66" w:rsidP="00EA4A14">
      <w:pPr>
        <w:pStyle w:val="NoSpacing"/>
        <w:ind w:left="6480" w:firstLine="720"/>
        <w:jc w:val="both"/>
        <w:rPr>
          <w:rFonts w:asciiTheme="minorHAnsi" w:hAnsiTheme="minorHAnsi" w:cs="Calibri"/>
          <w:bCs/>
          <w:sz w:val="22"/>
          <w:szCs w:val="22"/>
        </w:rPr>
      </w:pPr>
      <w:r w:rsidRPr="003B5526">
        <w:rPr>
          <w:rFonts w:asciiTheme="minorHAnsi" w:hAnsiTheme="minorHAnsi" w:cs="Arial"/>
          <w:b/>
          <w:bCs/>
          <w:sz w:val="22"/>
          <w:szCs w:val="22"/>
        </w:rPr>
        <w:t>Registrar I/c.</w:t>
      </w:r>
    </w:p>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20173C"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ANALYTICAL GASES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1"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SUPPLY OF ANALYTICAL GASES UNDER RTE CONTRACT 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842E4F" w:rsidP="00842E4F">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512DF7" w:rsidRPr="00A01B10" w:rsidTr="0047673D">
        <w:trPr>
          <w:trHeight w:val="292"/>
        </w:trPr>
        <w:tc>
          <w:tcPr>
            <w:tcW w:w="900" w:type="dxa"/>
          </w:tcPr>
          <w:p w:rsidR="00512DF7" w:rsidRPr="00EB7241" w:rsidRDefault="00EB2564"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842E4F" w:rsidP="00F41259">
            <w:pPr>
              <w:pStyle w:val="TOC1"/>
              <w:tabs>
                <w:tab w:val="right" w:leader="dot" w:pos="8665"/>
              </w:tabs>
              <w:spacing w:line="360" w:lineRule="auto"/>
              <w:jc w:val="center"/>
              <w:rPr>
                <w:rFonts w:ascii="Times New Roman" w:hAnsi="Times New Roman"/>
              </w:rPr>
            </w:pPr>
            <w:r w:rsidRPr="00EB7241">
              <w:rPr>
                <w:rFonts w:ascii="Times New Roman" w:hAnsi="Times New Roman"/>
              </w:rPr>
              <w:t>6-7</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842E4F"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10-11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3B4AFD" w:rsidRPr="00FA4CBC" w:rsidTr="0047673D">
        <w:trPr>
          <w:trHeight w:val="292"/>
        </w:trPr>
        <w:tc>
          <w:tcPr>
            <w:tcW w:w="900" w:type="dxa"/>
          </w:tcPr>
          <w:p w:rsidR="003B4AFD"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CF20FB" w:rsidRPr="00FA4CBC" w:rsidTr="00DE012B">
        <w:trPr>
          <w:trHeight w:val="51"/>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B07CA7" w:rsidRDefault="00CF20FB" w:rsidP="00F41259">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CF20FB" w:rsidRPr="00300A21" w:rsidRDefault="00842E4F"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CF20FB" w:rsidRPr="00FA4CBC" w:rsidTr="00DE012B">
        <w:trPr>
          <w:trHeight w:val="51"/>
        </w:trPr>
        <w:tc>
          <w:tcPr>
            <w:tcW w:w="900" w:type="dxa"/>
            <w:vAlign w:val="center"/>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tcPr>
          <w:p w:rsidR="00CF20FB" w:rsidRPr="00EB2564" w:rsidRDefault="00CF20FB" w:rsidP="00F41259">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CF20FB" w:rsidRPr="00330C83"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CF20FB" w:rsidRPr="00FA4CBC" w:rsidTr="00C74643">
        <w:trPr>
          <w:trHeight w:val="249"/>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CF20FB" w:rsidRPr="00F91B7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sidR="006E0409">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CF20FB" w:rsidRPr="00330C83" w:rsidRDefault="00065447"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CF20FB" w:rsidRPr="00FA4CBC" w:rsidTr="00B07CA7">
        <w:trPr>
          <w:trHeight w:val="10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CF20FB" w:rsidRPr="00FA4CBC" w:rsidRDefault="00CF20FB" w:rsidP="00F41259">
            <w:pPr>
              <w:pStyle w:val="TOC1"/>
              <w:tabs>
                <w:tab w:val="right" w:leader="dot" w:pos="8665"/>
              </w:tabs>
              <w:spacing w:line="360" w:lineRule="auto"/>
              <w:rPr>
                <w:rFonts w:ascii="Times New Roman" w:hAnsi="Times New Roman"/>
              </w:rPr>
            </w:pPr>
            <w:r w:rsidRPr="00300A21">
              <w:rPr>
                <w:rFonts w:ascii="Times New Roman" w:hAnsi="Times New Roman"/>
              </w:rPr>
              <w:t>F</w:t>
            </w:r>
            <w:r w:rsidR="006E0409">
              <w:rPr>
                <w:rFonts w:ascii="Times New Roman" w:hAnsi="Times New Roman"/>
              </w:rPr>
              <w:t xml:space="preserve">ormat for Authorisation letter </w:t>
            </w:r>
            <w:r w:rsidRPr="00300A21">
              <w:rPr>
                <w:rFonts w:ascii="Times New Roman" w:hAnsi="Times New Roman"/>
              </w:rPr>
              <w:t>–  Annexure –IV</w:t>
            </w:r>
          </w:p>
        </w:tc>
        <w:tc>
          <w:tcPr>
            <w:tcW w:w="1440" w:type="dxa"/>
          </w:tcPr>
          <w:p w:rsidR="00CF20FB" w:rsidRPr="00330C83" w:rsidRDefault="00842E4F" w:rsidP="00065447">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w:t>
            </w:r>
            <w:r w:rsidR="00065447">
              <w:rPr>
                <w:rFonts w:ascii="Times New Roman" w:hAnsi="Times New Roman" w:cs="Times New Roman"/>
                <w:sz w:val="24"/>
                <w:szCs w:val="24"/>
                <w:lang w:val="en-GB" w:eastAsia="ar-SA"/>
              </w:rPr>
              <w:t>5</w:t>
            </w:r>
          </w:p>
        </w:tc>
      </w:tr>
      <w:tr w:rsidR="00CF20FB" w:rsidRPr="00FA4CBC" w:rsidTr="00B07CA7">
        <w:trPr>
          <w:trHeight w:val="45"/>
        </w:trPr>
        <w:tc>
          <w:tcPr>
            <w:tcW w:w="900" w:type="dxa"/>
          </w:tcPr>
          <w:p w:rsidR="00CF20FB" w:rsidRPr="00300A21" w:rsidRDefault="00EB2564"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CF20FB" w:rsidRPr="00300A21" w:rsidRDefault="00CF20FB" w:rsidP="00F41259">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CF20FB" w:rsidRDefault="00842E4F" w:rsidP="00065447">
            <w:pPr>
              <w:pStyle w:val="TOC1"/>
              <w:tabs>
                <w:tab w:val="right" w:leader="dot" w:pos="8665"/>
              </w:tabs>
              <w:spacing w:line="360" w:lineRule="auto"/>
              <w:jc w:val="center"/>
              <w:rPr>
                <w:rFonts w:ascii="Times New Roman" w:hAnsi="Times New Roman"/>
              </w:rPr>
            </w:pPr>
            <w:r>
              <w:rPr>
                <w:rFonts w:ascii="Times New Roman" w:hAnsi="Times New Roman"/>
              </w:rPr>
              <w:t>1</w:t>
            </w:r>
            <w:r w:rsidR="00065447">
              <w:rPr>
                <w:rFonts w:ascii="Times New Roman" w:hAnsi="Times New Roman"/>
              </w:rPr>
              <w:t>6</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A01B10">
        <w:rPr>
          <w:rFonts w:ascii="Times New Roman" w:hAnsi="Times New Roman" w:cs="Times New Roman"/>
          <w:sz w:val="24"/>
          <w:szCs w:val="24"/>
        </w:rPr>
        <w:t xml:space="preserve">Analytical Gases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433E9">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433E9">
              <w:rPr>
                <w:rFonts w:ascii="Times New Roman" w:hAnsi="Times New Roman" w:cs="Times New Roman"/>
                <w:b/>
                <w:sz w:val="24"/>
                <w:szCs w:val="24"/>
              </w:rPr>
              <w:t>Analytical Gases</w:t>
            </w:r>
          </w:p>
        </w:tc>
      </w:tr>
      <w:tr w:rsidR="003B4AFD" w:rsidRPr="00FA4CBC" w:rsidTr="00DB4B1C">
        <w:tblPrEx>
          <w:tblLook w:val="000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I/c.</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2"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3" w:history="1">
              <w:r w:rsidR="00BE0D0B" w:rsidRPr="00300DC3">
                <w:rPr>
                  <w:rStyle w:val="Hyperlink"/>
                  <w:rFonts w:ascii="Times New Roman" w:hAnsi="Times New Roman" w:cs="Times New Roman"/>
                  <w:sz w:val="24"/>
                  <w:szCs w:val="24"/>
                </w:rPr>
                <w:t>registrarniphm@nic.in</w:t>
              </w:r>
            </w:hyperlink>
            <w:r w:rsidR="00BE0D0B">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4"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A01B10">
              <w:rPr>
                <w:rFonts w:ascii="Times New Roman" w:hAnsi="Times New Roman" w:cs="Times New Roman"/>
                <w:b/>
                <w:sz w:val="24"/>
                <w:szCs w:val="24"/>
              </w:rPr>
              <w:t>Analytical Gases</w:t>
            </w:r>
          </w:p>
        </w:tc>
      </w:tr>
      <w:tr w:rsidR="003B4AFD" w:rsidRPr="00FA4CBC" w:rsidTr="00DB4B1C">
        <w:tblPrEx>
          <w:tblLook w:val="000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A01B10">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B433E9" w:rsidRPr="00B433E9">
              <w:rPr>
                <w:rFonts w:ascii="Times New Roman" w:hAnsi="Times New Roman" w:cs="Times New Roman"/>
                <w:b/>
                <w:bCs/>
                <w:sz w:val="24"/>
                <w:szCs w:val="24"/>
              </w:rPr>
              <w:t>16/183/Analytical Gases/2014-15/</w:t>
            </w:r>
            <w:r w:rsidR="00233E0F">
              <w:rPr>
                <w:rFonts w:ascii="Times New Roman" w:hAnsi="Times New Roman" w:cs="Times New Roman"/>
                <w:b/>
                <w:bCs/>
                <w:sz w:val="24"/>
                <w:szCs w:val="24"/>
              </w:rPr>
              <w:t>03</w:t>
            </w:r>
          </w:p>
        </w:tc>
      </w:tr>
      <w:tr w:rsidR="003B4AFD" w:rsidRPr="00FA4CBC" w:rsidTr="00DB4B1C">
        <w:tblPrEx>
          <w:tblLook w:val="000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DB4B1C">
        <w:tblPrEx>
          <w:tblLook w:val="000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3B4AFD" w:rsidP="00940745">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for the period of </w:t>
            </w:r>
            <w:r w:rsidR="00741CB1">
              <w:rPr>
                <w:rFonts w:ascii="Times New Roman" w:hAnsi="Times New Roman" w:cs="Times New Roman"/>
                <w:b/>
                <w:sz w:val="24"/>
                <w:szCs w:val="24"/>
              </w:rPr>
              <w:t xml:space="preserve">One year </w:t>
            </w:r>
            <w:r w:rsidR="00741CB1" w:rsidRPr="00741CB1">
              <w:rPr>
                <w:rFonts w:ascii="Times New Roman" w:hAnsi="Times New Roman" w:cs="Times New Roman"/>
                <w:bCs/>
                <w:sz w:val="24"/>
                <w:szCs w:val="24"/>
              </w:rPr>
              <w:t>from</w:t>
            </w:r>
            <w:r w:rsidR="00741CB1">
              <w:rPr>
                <w:rFonts w:ascii="Times New Roman" w:hAnsi="Times New Roman" w:cs="Times New Roman"/>
                <w:b/>
                <w:sz w:val="24"/>
                <w:szCs w:val="24"/>
              </w:rPr>
              <w:t xml:space="preserve"> </w:t>
            </w:r>
            <w:r w:rsidRPr="00FA4CBC">
              <w:rPr>
                <w:rFonts w:ascii="Times New Roman" w:hAnsi="Times New Roman" w:cs="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w:t>
            </w:r>
            <w:r w:rsidR="008E1D28" w:rsidRPr="00842E4F">
              <w:rPr>
                <w:rFonts w:ascii="Times New Roman" w:hAnsi="Times New Roman" w:cs="Times New Roman"/>
                <w:sz w:val="24"/>
                <w:szCs w:val="24"/>
              </w:rPr>
              <w:t xml:space="preserve"> upto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5"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3B4AFD" w:rsidRPr="00BE0D0B" w:rsidRDefault="003B4AFD" w:rsidP="00940745">
            <w:pPr>
              <w:pStyle w:val="Heading1"/>
              <w:tabs>
                <w:tab w:val="clear" w:pos="0"/>
                <w:tab w:val="left" w:pos="60"/>
              </w:tabs>
              <w:jc w:val="both"/>
              <w:rPr>
                <w:rFonts w:ascii="Times New Roman" w:hAnsi="Times New Roman" w:cs="Times New Roman"/>
                <w:b/>
                <w:bCs/>
                <w:szCs w:val="24"/>
                <w:lang w:bidi="ar-SA"/>
              </w:rPr>
            </w:pPr>
            <w:r w:rsidRPr="00BE0D0B">
              <w:rPr>
                <w:rFonts w:ascii="Times New Roman" w:hAnsi="Times New Roman" w:cs="Times New Roman"/>
                <w:b/>
                <w:bCs/>
                <w:szCs w:val="24"/>
                <w:lang w:bidi="ar-SA"/>
              </w:rPr>
              <w:t xml:space="preserve">Bidders are exempted from Earnest Money Deposit. </w:t>
            </w:r>
          </w:p>
        </w:tc>
      </w:tr>
      <w:tr w:rsidR="003B4AFD" w:rsidRPr="00FA4CBC" w:rsidTr="00DB4B1C">
        <w:tblPrEx>
          <w:tblLook w:val="000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3A7210">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sidR="003A7210">
              <w:rPr>
                <w:rFonts w:ascii="Times New Roman" w:hAnsi="Times New Roman" w:cs="Times New Roman"/>
                <w:b/>
                <w:bCs/>
                <w:sz w:val="24"/>
                <w:szCs w:val="24"/>
              </w:rPr>
              <w:t>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00 hrs  on</w:t>
            </w:r>
            <w:r w:rsidR="00546AAA">
              <w:rPr>
                <w:rFonts w:ascii="Times New Roman" w:hAnsi="Times New Roman" w:cs="Times New Roman"/>
                <w:b/>
                <w:bCs/>
                <w:sz w:val="24"/>
                <w:szCs w:val="24"/>
              </w:rPr>
              <w:t xml:space="preserve"> </w:t>
            </w:r>
            <w:r w:rsidR="003A7210">
              <w:rPr>
                <w:rFonts w:ascii="Times New Roman" w:hAnsi="Times New Roman" w:cs="Times New Roman"/>
                <w:b/>
                <w:bCs/>
                <w:sz w:val="24"/>
                <w:szCs w:val="24"/>
              </w:rPr>
              <w:t>03</w:t>
            </w:r>
            <w:r w:rsidR="00DB4B1C" w:rsidRPr="00546AAA">
              <w:rPr>
                <w:rFonts w:ascii="Times New Roman" w:hAnsi="Times New Roman" w:cs="Times New Roman"/>
                <w:b/>
                <w:bCs/>
                <w:sz w:val="24"/>
                <w:szCs w:val="24"/>
              </w:rPr>
              <w:t>-</w:t>
            </w:r>
            <w:r w:rsidR="003A7210">
              <w:rPr>
                <w:rFonts w:ascii="Times New Roman" w:hAnsi="Times New Roman" w:cs="Times New Roman"/>
                <w:b/>
                <w:bCs/>
                <w:sz w:val="24"/>
                <w:szCs w:val="24"/>
              </w:rPr>
              <w:t>7</w:t>
            </w:r>
            <w:r w:rsidR="00DB4B1C" w:rsidRPr="00546AAA">
              <w:rPr>
                <w:rFonts w:ascii="Times New Roman" w:hAnsi="Times New Roman" w:cs="Times New Roman"/>
                <w:b/>
                <w:bCs/>
                <w:sz w:val="24"/>
                <w:szCs w:val="24"/>
              </w:rPr>
              <w:t>-</w:t>
            </w:r>
            <w:r w:rsidR="003B4AFD" w:rsidRPr="00546AAA">
              <w:rPr>
                <w:rFonts w:ascii="Times New Roman" w:hAnsi="Times New Roman" w:cs="Times New Roman"/>
                <w:b/>
                <w:bCs/>
                <w:sz w:val="24"/>
                <w:szCs w:val="24"/>
              </w:rPr>
              <w:t>201</w:t>
            </w:r>
            <w:r w:rsidR="00CD48F6" w:rsidRPr="00546AAA">
              <w:rPr>
                <w:rFonts w:ascii="Times New Roman" w:hAnsi="Times New Roman" w:cs="Times New Roman"/>
                <w:b/>
                <w:bCs/>
                <w:sz w:val="24"/>
                <w:szCs w:val="24"/>
              </w:rPr>
              <w:t>4</w:t>
            </w:r>
            <w:r w:rsidR="003B4AFD" w:rsidRPr="00FA4CBC">
              <w:rPr>
                <w:rFonts w:ascii="Times New Roman" w:hAnsi="Times New Roman" w:cs="Times New Roman"/>
                <w:b/>
                <w:bCs/>
                <w:sz w:val="24"/>
                <w:szCs w:val="24"/>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3A7210">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3A7210">
              <w:rPr>
                <w:rFonts w:ascii="Times New Roman" w:hAnsi="Times New Roman" w:cs="Times New Roman"/>
                <w:b/>
                <w:bCs/>
                <w:sz w:val="24"/>
                <w:szCs w:val="24"/>
              </w:rPr>
              <w:t>03</w:t>
            </w:r>
            <w:r w:rsidRPr="00546AAA">
              <w:rPr>
                <w:rFonts w:ascii="Times New Roman" w:hAnsi="Times New Roman" w:cs="Times New Roman"/>
                <w:b/>
                <w:bCs/>
                <w:sz w:val="24"/>
                <w:szCs w:val="24"/>
              </w:rPr>
              <w:t>-</w:t>
            </w:r>
            <w:r w:rsidR="003A7210">
              <w:rPr>
                <w:rFonts w:ascii="Times New Roman" w:hAnsi="Times New Roman" w:cs="Times New Roman"/>
                <w:b/>
                <w:bCs/>
                <w:sz w:val="24"/>
                <w:szCs w:val="24"/>
              </w:rPr>
              <w:t>7</w:t>
            </w:r>
            <w:r w:rsidRPr="00546AAA">
              <w:rPr>
                <w:rFonts w:ascii="Times New Roman" w:hAnsi="Times New Roman" w:cs="Times New Roman"/>
                <w:b/>
                <w:bCs/>
                <w:sz w:val="24"/>
                <w:szCs w:val="24"/>
              </w:rPr>
              <w:t>-2014</w:t>
            </w:r>
            <w:r w:rsidRPr="00FA4CBC">
              <w:rPr>
                <w:rFonts w:ascii="Times New Roman" w:hAnsi="Times New Roman" w:cs="Times New Roman"/>
                <w:b/>
                <w:bCs/>
                <w:sz w:val="24"/>
                <w:szCs w:val="24"/>
              </w:rPr>
              <w:t xml:space="preserve"> </w:t>
            </w:r>
            <w:r w:rsidR="003B4AFD" w:rsidRPr="00FA4CBC">
              <w:rPr>
                <w:rFonts w:ascii="Times New Roman" w:hAnsi="Times New Roman" w:cs="Times New Roman"/>
                <w:b/>
                <w:bCs/>
                <w:sz w:val="24"/>
                <w:szCs w:val="24"/>
              </w:rPr>
              <w:t>at  1</w:t>
            </w:r>
            <w:r w:rsidR="003A7210">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00 hrs</w:t>
            </w:r>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w:t>
            </w:r>
            <w:r w:rsidR="000134CB">
              <w:rPr>
                <w:rFonts w:ascii="Times New Roman" w:hAnsi="Times New Roman"/>
                <w:color w:val="auto"/>
              </w:rPr>
              <w:t xml:space="preserve">average </w:t>
            </w:r>
            <w:r w:rsidRPr="00546AAA">
              <w:rPr>
                <w:rFonts w:ascii="Times New Roman" w:hAnsi="Times New Roman"/>
                <w:color w:val="auto"/>
              </w:rPr>
              <w:t xml:space="preserve">Annual Gross turnover </w:t>
            </w:r>
            <w:r w:rsidR="000134CB">
              <w:rPr>
                <w:rFonts w:ascii="Times New Roman" w:hAnsi="Times New Roman"/>
                <w:color w:val="auto"/>
              </w:rPr>
              <w:t>of</w:t>
            </w:r>
            <w:r w:rsidR="00E478CF" w:rsidRPr="00546AAA">
              <w:rPr>
                <w:rFonts w:ascii="Times New Roman" w:hAnsi="Times New Roman"/>
                <w:color w:val="auto"/>
              </w:rPr>
              <w:t xml:space="preserve"> the firm </w:t>
            </w:r>
            <w:r w:rsidR="002660B5" w:rsidRPr="00546AAA">
              <w:rPr>
                <w:rFonts w:ascii="Times New Roman" w:hAnsi="Times New Roman"/>
                <w:color w:val="auto"/>
              </w:rPr>
              <w:t xml:space="preserve">should be </w:t>
            </w:r>
            <w:r w:rsidR="00E9724E">
              <w:rPr>
                <w:rFonts w:ascii="Times New Roman" w:hAnsi="Times New Roman"/>
                <w:color w:val="auto"/>
              </w:rPr>
              <w:t xml:space="preserve">at least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during last three </w:t>
            </w:r>
            <w:r w:rsidR="000134CB">
              <w:rPr>
                <w:rFonts w:ascii="Times New Roman" w:hAnsi="Times New Roman"/>
                <w:color w:val="auto"/>
              </w:rPr>
              <w:t xml:space="preserve">consecutive </w:t>
            </w:r>
            <w:r w:rsidR="00226AC2" w:rsidRPr="00546AAA">
              <w:rPr>
                <w:rFonts w:ascii="Times New Roman" w:hAnsi="Times New Roman"/>
                <w:color w:val="auto"/>
              </w:rPr>
              <w:t>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Income Tax Act.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FB6BE9" w:rsidRDefault="00E41272" w:rsidP="009926ED">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686FF6" w:rsidRPr="00065447" w:rsidRDefault="008058AD" w:rsidP="008058AD">
      <w:pPr>
        <w:pStyle w:val="ListParagraph"/>
        <w:numPr>
          <w:ilvl w:val="0"/>
          <w:numId w:val="43"/>
        </w:numPr>
        <w:jc w:val="both"/>
        <w:rPr>
          <w:rFonts w:ascii="Times New Roman" w:hAnsi="Times New Roman"/>
        </w:rPr>
      </w:pPr>
      <w:r w:rsidRPr="00065447">
        <w:rPr>
          <w:rFonts w:ascii="Times New Roman" w:hAnsi="Times New Roman"/>
          <w:bCs/>
        </w:rPr>
        <w:t xml:space="preserve">The </w:t>
      </w:r>
      <w:r w:rsidR="009926ED" w:rsidRPr="00065447">
        <w:rPr>
          <w:rFonts w:ascii="Times New Roman" w:hAnsi="Times New Roman"/>
          <w:bCs/>
        </w:rPr>
        <w:t xml:space="preserve">tender has been exempted from submission of </w:t>
      </w:r>
      <w:r w:rsidRPr="00065447">
        <w:rPr>
          <w:rFonts w:ascii="Times New Roman" w:hAnsi="Times New Roman"/>
          <w:bCs/>
        </w:rPr>
        <w:t>Earnest Money Deposit</w:t>
      </w:r>
      <w:r w:rsidRPr="00065447">
        <w:rPr>
          <w:rFonts w:ascii="Times New Roman" w:hAnsi="Times New Roman"/>
        </w:rPr>
        <w:t>.</w:t>
      </w:r>
    </w:p>
    <w:p w:rsidR="008058AD" w:rsidRPr="00211A0C" w:rsidRDefault="008058AD" w:rsidP="008058AD">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Quotation should be valid for a minimum period of </w:t>
      </w:r>
      <w:r w:rsidR="009926ED" w:rsidRPr="00211A0C">
        <w:rPr>
          <w:rFonts w:ascii="Times New Roman" w:hAnsi="Times New Roman" w:cs="Times New Roman"/>
          <w:sz w:val="24"/>
          <w:szCs w:val="24"/>
        </w:rPr>
        <w:t xml:space="preserve">NINETY </w:t>
      </w:r>
      <w:r w:rsidRPr="00211A0C">
        <w:rPr>
          <w:rFonts w:ascii="Times New Roman" w:hAnsi="Times New Roman" w:cs="Times New Roman"/>
          <w:sz w:val="24"/>
          <w:szCs w:val="24"/>
        </w:rPr>
        <w:t>DAYS from opening of tender.  The sealed quotation duly super scribing on the</w:t>
      </w:r>
      <w:r w:rsidR="009926ED" w:rsidRPr="00211A0C">
        <w:rPr>
          <w:rFonts w:ascii="Times New Roman" w:hAnsi="Times New Roman" w:cs="Times New Roman"/>
          <w:sz w:val="24"/>
          <w:szCs w:val="24"/>
        </w:rPr>
        <w:t xml:space="preserve"> </w:t>
      </w:r>
      <w:r w:rsidRPr="00211A0C">
        <w:rPr>
          <w:rFonts w:ascii="Times New Roman" w:hAnsi="Times New Roman" w:cs="Times New Roman"/>
          <w:sz w:val="24"/>
          <w:szCs w:val="24"/>
        </w:rPr>
        <w:t>envelop</w:t>
      </w:r>
      <w:r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Pr="00211A0C">
        <w:rPr>
          <w:rFonts w:ascii="Times New Roman" w:hAnsi="Times New Roman" w:cs="Times New Roman"/>
          <w:b/>
          <w:sz w:val="24"/>
          <w:szCs w:val="24"/>
        </w:rPr>
        <w:t xml:space="preserve">supply of </w:t>
      </w:r>
      <w:r w:rsidR="00635E12">
        <w:rPr>
          <w:rFonts w:ascii="Times New Roman" w:hAnsi="Times New Roman" w:cs="Times New Roman"/>
          <w:b/>
          <w:sz w:val="24"/>
          <w:szCs w:val="24"/>
        </w:rPr>
        <w:t>Analytical Gases</w:t>
      </w:r>
      <w:r w:rsidRPr="00211A0C">
        <w:rPr>
          <w:rFonts w:ascii="Times New Roman" w:hAnsi="Times New Roman" w:cs="Times New Roman"/>
          <w:sz w:val="24"/>
          <w:szCs w:val="24"/>
        </w:rPr>
        <w:t xml:space="preserve"> </w:t>
      </w:r>
      <w:r w:rsidRPr="00211A0C">
        <w:rPr>
          <w:rFonts w:ascii="Times New Roman" w:hAnsi="Times New Roman" w:cs="Times New Roman"/>
          <w:b/>
          <w:sz w:val="24"/>
          <w:szCs w:val="24"/>
        </w:rPr>
        <w:t>with tender no. and due date”</w:t>
      </w:r>
      <w:r w:rsidRPr="00211A0C">
        <w:rPr>
          <w:rFonts w:ascii="Times New Roman" w:hAnsi="Times New Roman" w:cs="Times New Roman"/>
          <w:sz w:val="24"/>
          <w:szCs w:val="24"/>
        </w:rPr>
        <w:t xml:space="preserve"> should reach on or before the specified date and time to the Registrar NIPHM, Rajendranagar, Hyderabad-500 030.</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rates quoted should be inclusive of all charges such as </w:t>
      </w:r>
      <w:r w:rsidR="00B82A2F">
        <w:rPr>
          <w:rFonts w:ascii="Times New Roman" w:hAnsi="Times New Roman" w:cs="Times New Roman"/>
          <w:sz w:val="24"/>
          <w:szCs w:val="24"/>
        </w:rPr>
        <w:t xml:space="preserve">VAT/CST/Custom, </w:t>
      </w:r>
      <w:r w:rsidRPr="00211A0C">
        <w:rPr>
          <w:rFonts w:ascii="Times New Roman" w:hAnsi="Times New Roman" w:cs="Times New Roman"/>
          <w:sz w:val="24"/>
          <w:szCs w:val="24"/>
        </w:rPr>
        <w:t>Octroi, packing, forwarding, insurance and loading, unloading, freight and clearance etc. and bidder should undertake to supply goods at NIPHM at his cost.</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VAT registration no. etc. in the quotation (attested copies to be enclosed). </w:t>
      </w:r>
    </w:p>
    <w:p w:rsidR="008058AD" w:rsidRPr="00211A0C" w:rsidRDefault="008058AD" w:rsidP="008058AD">
      <w:pPr>
        <w:numPr>
          <w:ilvl w:val="0"/>
          <w:numId w:val="43"/>
        </w:numPr>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upto 48 hrs prior to the last date. NIPHM will respond in writing to any request for clarification in the Tender.</w:t>
      </w: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6"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7"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w:t>
      </w:r>
      <w:r w:rsidRPr="00FB6BE9">
        <w:rPr>
          <w:rFonts w:ascii="Times New Roman" w:hAnsi="Times New Roman"/>
          <w:color w:val="000000"/>
        </w:rPr>
        <w:lastRenderedPageBreak/>
        <w:t xml:space="preserve">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r w:rsidR="004121BC">
        <w:rPr>
          <w:rFonts w:ascii="Times New Roman" w:hAnsi="Times New Roman" w:cs="Times New Roman"/>
        </w:rPr>
        <w:t xml:space="preserve"> I/c.</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18"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19"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0"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Any offer made in response to this tender when accepted by NIPHM will constitute a contract between the parties.</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B82A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w:t>
            </w:r>
            <w:r w:rsidR="00B82A2F">
              <w:rPr>
                <w:rFonts w:ascii="Times New Roman" w:hAnsi="Times New Roman" w:cs="Times New Roman"/>
                <w:sz w:val="24"/>
                <w:szCs w:val="24"/>
              </w:rPr>
              <w:t xml:space="preserve">/supplier </w:t>
            </w:r>
            <w:r w:rsidRPr="00211A0C">
              <w:rPr>
                <w:rFonts w:ascii="Times New Roman" w:hAnsi="Times New Roman" w:cs="Times New Roman"/>
                <w:sz w:val="24"/>
                <w:szCs w:val="24"/>
              </w:rPr>
              <w:t xml:space="preserve"> of the  </w:t>
            </w:r>
            <w:r w:rsidR="00B82A2F">
              <w:rPr>
                <w:rFonts w:ascii="Times New Roman" w:hAnsi="Times New Roman" w:cs="Times New Roman"/>
                <w:sz w:val="24"/>
                <w:szCs w:val="24"/>
              </w:rPr>
              <w:t xml:space="preserve">Analytical Gases </w:t>
            </w:r>
            <w:r w:rsidRPr="00211A0C">
              <w:rPr>
                <w:rFonts w:ascii="Times New Roman" w:hAnsi="Times New Roman" w:cs="Times New Roman"/>
                <w:sz w:val="24"/>
                <w:szCs w:val="24"/>
              </w:rPr>
              <w:t>or an Authorized Dealer/Agent</w:t>
            </w:r>
            <w:r w:rsidRPr="00211A0C">
              <w:rPr>
                <w:rFonts w:ascii="Times New Roman" w:hAnsi="Times New Roman" w:cs="Times New Roman"/>
                <w:b/>
                <w:sz w:val="24"/>
                <w:szCs w:val="24"/>
              </w:rPr>
              <w:t xml:space="preserve"> </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3173A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3173A1">
              <w:rPr>
                <w:rFonts w:ascii="Times New Roman" w:hAnsi="Times New Roman" w:cs="Times New Roman"/>
                <w:sz w:val="24"/>
                <w:szCs w:val="24"/>
              </w:rPr>
              <w:t>Analytical Gases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has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B82A2F">
              <w:rPr>
                <w:rFonts w:ascii="Times New Roman" w:hAnsi="Times New Roman" w:cs="Times New Roman"/>
                <w:spacing w:val="-2"/>
                <w:sz w:val="24"/>
                <w:szCs w:val="24"/>
              </w:rPr>
              <w:t xml:space="preserve">average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 xml:space="preserve">should be </w:t>
            </w:r>
            <w:r w:rsidR="003173A1">
              <w:rPr>
                <w:rFonts w:ascii="Times New Roman" w:hAnsi="Times New Roman" w:cs="Times New Roman"/>
                <w:spacing w:val="-2"/>
                <w:sz w:val="24"/>
                <w:szCs w:val="24"/>
              </w:rPr>
              <w:t xml:space="preserve">at least </w:t>
            </w:r>
            <w:r>
              <w:rPr>
                <w:rFonts w:ascii="Times New Roman" w:hAnsi="Times New Roman" w:cs="Times New Roman"/>
                <w:spacing w:val="-2"/>
                <w:sz w:val="24"/>
                <w:szCs w:val="24"/>
              </w:rPr>
              <w:t>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during last three </w:t>
            </w:r>
            <w:r w:rsidR="00B82A2F">
              <w:rPr>
                <w:rFonts w:ascii="Times New Roman" w:hAnsi="Times New Roman"/>
                <w:color w:val="000000"/>
                <w:sz w:val="24"/>
                <w:szCs w:val="24"/>
              </w:rPr>
              <w:t xml:space="preserve">consecutive </w:t>
            </w:r>
            <w:r w:rsidR="00226AC2" w:rsidRPr="00FA4CBC">
              <w:rPr>
                <w:rFonts w:ascii="Times New Roman" w:hAnsi="Times New Roman"/>
                <w:color w:val="000000"/>
                <w:sz w:val="24"/>
                <w:szCs w:val="24"/>
              </w:rPr>
              <w:t>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The firm should be income tax assessee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560"/>
        </w:trPr>
        <w:tc>
          <w:tcPr>
            <w:tcW w:w="558" w:type="dxa"/>
            <w:vAlign w:val="center"/>
          </w:tcPr>
          <w:p w:rsidR="003B4AFD" w:rsidRPr="00060852"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060852"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tcBorders>
              <w:bottom w:val="double" w:sz="4" w:space="0" w:color="auto"/>
            </w:tcBorders>
            <w:vAlign w:val="center"/>
          </w:tcPr>
          <w:p w:rsidR="003B4AFD" w:rsidRPr="00060852"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060852">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203C6D"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laid down by NIPHM.  The specifications of </w:t>
      </w:r>
      <w:r w:rsidR="00203C6D" w:rsidRPr="00060852">
        <w:rPr>
          <w:rFonts w:ascii="Times New Roman" w:hAnsi="Times New Roman"/>
        </w:rPr>
        <w:t xml:space="preserve">items </w:t>
      </w:r>
      <w:r w:rsidR="00470156">
        <w:rPr>
          <w:rFonts w:ascii="Times New Roman" w:hAnsi="Times New Roman"/>
        </w:rPr>
        <w:t xml:space="preserve">are </w:t>
      </w:r>
      <w:r w:rsidRPr="00060852">
        <w:rPr>
          <w:rFonts w:ascii="Times New Roman" w:hAnsi="Times New Roman"/>
        </w:rPr>
        <w:t>mentioned in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for a period of </w:t>
      </w:r>
      <w:r w:rsidR="00060852">
        <w:rPr>
          <w:rFonts w:ascii="Times New Roman" w:hAnsi="Times New Roman"/>
          <w:b/>
        </w:rPr>
        <w:t xml:space="preserve">One year from </w:t>
      </w:r>
      <w:r w:rsidRPr="00060852">
        <w:rPr>
          <w:rFonts w:ascii="Times New Roman" w:hAnsi="Times New Roman"/>
          <w:b/>
        </w:rPr>
        <w:t xml:space="preserve">the last date for bid submission. </w:t>
      </w:r>
      <w:r w:rsidRPr="00060852">
        <w:rPr>
          <w:rFonts w:ascii="Times New Roman" w:hAnsi="Times New Roman"/>
        </w:rPr>
        <w:t xml:space="preserve"> However, the purchaser reserves the right to seek consent for an extension of the period of validity.</w:t>
      </w:r>
    </w:p>
    <w:p w:rsidR="00060852" w:rsidRPr="00060852" w:rsidRDefault="00060852" w:rsidP="00060852">
      <w:pPr>
        <w:pStyle w:val="ListParagraph"/>
        <w:numPr>
          <w:ilvl w:val="0"/>
          <w:numId w:val="10"/>
        </w:numPr>
        <w:jc w:val="both"/>
        <w:rPr>
          <w:rFonts w:ascii="Times New Roman" w:hAnsi="Times New Roman"/>
          <w:bCs/>
          <w:color w:val="FF0000"/>
        </w:rPr>
      </w:pPr>
      <w:r w:rsidRPr="00060852">
        <w:rPr>
          <w:rFonts w:ascii="Times New Roman" w:hAnsi="Times New Roman"/>
          <w:bCs/>
        </w:rPr>
        <w:t>However,</w:t>
      </w:r>
      <w:r>
        <w:rPr>
          <w:rFonts w:ascii="Times New Roman" w:hAnsi="Times New Roman"/>
          <w:bCs/>
        </w:rPr>
        <w:t xml:space="preserve"> the bidder may quote / submit any condition(s) of fluctuation in the price for valid reason which is traceable like in case of an imported gas where rates are dependent on dollar exchange price.</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w:t>
      </w:r>
      <w:r w:rsidR="00470156">
        <w:rPr>
          <w:rFonts w:ascii="Times New Roman" w:hAnsi="Times New Roman"/>
        </w:rPr>
        <w:t>full</w:t>
      </w:r>
      <w:r w:rsidR="003B4AFD" w:rsidRPr="00060852">
        <w:rPr>
          <w:rFonts w:ascii="Times New Roman" w:hAnsi="Times New Roman"/>
        </w:rPr>
        <w:t xml:space="preserve">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lastRenderedPageBreak/>
        <w:t xml:space="preserve">Prices quoted should be </w:t>
      </w:r>
      <w:r w:rsidRPr="00060852">
        <w:rPr>
          <w:rFonts w:ascii="Times New Roman" w:hAnsi="Times New Roman"/>
          <w:b/>
          <w:color w:val="000000"/>
        </w:rPr>
        <w:t xml:space="preserve">for </w:t>
      </w:r>
      <w:r w:rsidR="00470156">
        <w:rPr>
          <w:rFonts w:ascii="Times New Roman" w:hAnsi="Times New Roman"/>
          <w:b/>
          <w:color w:val="000000"/>
        </w:rPr>
        <w:t xml:space="preserve">COLLECTING </w:t>
      </w:r>
      <w:r w:rsidR="002C40CB">
        <w:rPr>
          <w:rFonts w:ascii="Times New Roman" w:hAnsi="Times New Roman"/>
          <w:b/>
          <w:color w:val="000000"/>
        </w:rPr>
        <w:t xml:space="preserve">OF EMPTY CYLINDERS </w:t>
      </w:r>
      <w:r w:rsidR="00470156">
        <w:rPr>
          <w:rFonts w:ascii="Times New Roman" w:hAnsi="Times New Roman"/>
          <w:b/>
          <w:color w:val="000000"/>
        </w:rPr>
        <w:t xml:space="preserve">FROM NIPHM PREMISES </w:t>
      </w:r>
      <w:r w:rsidR="002C40CB">
        <w:rPr>
          <w:rFonts w:ascii="Times New Roman" w:hAnsi="Times New Roman"/>
          <w:b/>
          <w:color w:val="000000"/>
        </w:rPr>
        <w:t xml:space="preserve">AND </w:t>
      </w:r>
      <w:r w:rsidRPr="00060852">
        <w:rPr>
          <w:rFonts w:ascii="Times New Roman" w:hAnsi="Times New Roman"/>
          <w:b/>
          <w:color w:val="000000"/>
        </w:rPr>
        <w:t xml:space="preserve">DELIVERY </w:t>
      </w:r>
      <w:r w:rsidR="00470156">
        <w:rPr>
          <w:rFonts w:ascii="Times New Roman" w:hAnsi="Times New Roman"/>
          <w:b/>
          <w:color w:val="000000"/>
        </w:rPr>
        <w:t xml:space="preserve">OF FILLED CYLINDERS </w:t>
      </w:r>
      <w:r w:rsidRPr="00060852">
        <w:rPr>
          <w:rFonts w:ascii="Times New Roman" w:hAnsi="Times New Roman"/>
          <w:b/>
          <w:color w:val="000000"/>
        </w:rPr>
        <w:t xml:space="preserve">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Pr>
          <w:rFonts w:ascii="Times New Roman" w:hAnsi="Times New Roman" w:cs="Times New Roman"/>
          <w:sz w:val="24"/>
          <w:szCs w:val="24"/>
        </w:rPr>
        <w:t xml:space="preserve"> </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w:t>
      </w:r>
      <w:r w:rsidR="00AE1B8D">
        <w:rPr>
          <w:rFonts w:ascii="Times New Roman" w:hAnsi="Times New Roman"/>
          <w:iCs/>
        </w:rPr>
        <w:t xml:space="preserve">(address mentioned </w:t>
      </w:r>
      <w:r w:rsidR="004467D1">
        <w:rPr>
          <w:rFonts w:ascii="Times New Roman" w:hAnsi="Times New Roman"/>
          <w:iCs/>
        </w:rPr>
        <w:t xml:space="preserve">at 5 (II) </w:t>
      </w:r>
      <w:r w:rsidR="00AE1B8D">
        <w:rPr>
          <w:rFonts w:ascii="Times New Roman" w:hAnsi="Times New Roman"/>
          <w:iCs/>
        </w:rPr>
        <w:t>on page No. 7)</w:t>
      </w:r>
      <w:r w:rsidRPr="006C64C2">
        <w:rPr>
          <w:rFonts w:ascii="Times New Roman" w:hAnsi="Times New Roman"/>
          <w:iCs/>
        </w:rPr>
        <w:t>.</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 xml:space="preserve">Profile of the Company – stating whether the firm is </w:t>
      </w:r>
      <w:r w:rsidR="001F7A32">
        <w:rPr>
          <w:rFonts w:ascii="Times New Roman" w:hAnsi="Times New Roman"/>
          <w:color w:val="000000"/>
        </w:rPr>
        <w:t xml:space="preserve">individual/partnership/companies </w:t>
      </w:r>
      <w:r w:rsidRPr="006C64C2">
        <w:rPr>
          <w:rFonts w:ascii="Times New Roman" w:hAnsi="Times New Roman"/>
          <w:color w:val="000000"/>
        </w:rPr>
        <w:t>registered under the Companies Act along with its necessary enclosures</w:t>
      </w:r>
      <w:r w:rsidR="005E205C">
        <w:rPr>
          <w:rFonts w:ascii="Times New Roman" w:hAnsi="Times New Roman"/>
          <w:color w:val="000000"/>
        </w:rPr>
        <w:t>.</w:t>
      </w:r>
    </w:p>
    <w:p w:rsidR="005E205C" w:rsidRDefault="00DE3B02"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Fulfilling eligibility criteria</w:t>
      </w:r>
      <w:r w:rsidR="001F7A32">
        <w:rPr>
          <w:rFonts w:ascii="Times New Roman" w:hAnsi="Times New Roman"/>
          <w:b/>
          <w:bCs/>
          <w:color w:val="000000"/>
        </w:rPr>
        <w:t xml:space="preserve"> (documents in support of eligibility criteria should be enclosed)</w:t>
      </w:r>
      <w:r>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7C06CE">
        <w:rPr>
          <w:rFonts w:ascii="Times New Roman" w:hAnsi="Times New Roman"/>
          <w:b/>
          <w:color w:val="000000"/>
        </w:rPr>
        <w:t>Analytical Gases</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Rajendranagar,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basis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Prices payable to the Supplier as stated in the Contract shall be firm and not subject to any adjustment during performance of the Contract</w:t>
      </w:r>
      <w:r w:rsidR="0071512C">
        <w:rPr>
          <w:rFonts w:ascii="Times New Roman" w:hAnsi="Times New Roman"/>
          <w:b/>
          <w:color w:val="000000"/>
        </w:rPr>
        <w:t xml:space="preserve"> valid for one year from the date of agreement</w:t>
      </w:r>
      <w:r w:rsidR="009F5952">
        <w:rPr>
          <w:rFonts w:ascii="Times New Roman" w:hAnsi="Times New Roman"/>
          <w:b/>
          <w:color w:val="000000"/>
        </w:rPr>
        <w:t xml:space="preserve"> </w:t>
      </w:r>
      <w:r w:rsidR="009F5952">
        <w:rPr>
          <w:rFonts w:ascii="Times New Roman" w:hAnsi="Times New Roman"/>
          <w:bCs/>
          <w:color w:val="000000"/>
        </w:rPr>
        <w:t>(see Sl. No. 7.f)</w:t>
      </w:r>
      <w:r w:rsidRPr="004031DB">
        <w:rPr>
          <w:rFonts w:ascii="Times New Roman" w:hAnsi="Times New Roman"/>
          <w:b/>
          <w:color w:val="000000"/>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005EAC" w:rsidRDefault="003B4AFD" w:rsidP="00670B3A">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xml:space="preserve">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Pr="00300A21"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7831E2">
        <w:rPr>
          <w:rFonts w:ascii="Times New Roman" w:hAnsi="Times New Roman"/>
          <w:b/>
        </w:rPr>
        <w:t>Analytical Gases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B108E1"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Solo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Default="00337A97" w:rsidP="00D90E9B">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A</w:t>
            </w:r>
            <w:r w:rsidR="00B108E1" w:rsidRPr="006F5910">
              <w:rPr>
                <w:rFonts w:ascii="Times New Roman" w:hAnsi="Times New Roman" w:cs="Times New Roman"/>
                <w:b w:val="0"/>
                <w:sz w:val="24"/>
                <w:szCs w:val="24"/>
                <w:u w:val="none"/>
                <w:lang w:bidi="ar-SA"/>
              </w:rPr>
              <w:t xml:space="preserve">nnual gross turnover </w:t>
            </w:r>
            <w:r w:rsidR="00D90E9B">
              <w:rPr>
                <w:rFonts w:ascii="Times New Roman" w:hAnsi="Times New Roman" w:cs="Times New Roman"/>
                <w:b w:val="0"/>
                <w:sz w:val="24"/>
                <w:szCs w:val="24"/>
                <w:u w:val="none"/>
                <w:lang w:bidi="ar-SA"/>
              </w:rPr>
              <w:t>during last 3 years should be supported either by audited Balance Sheet or certificate signed by Charted Accountant</w:t>
            </w:r>
            <w:r w:rsidR="00B108E1" w:rsidRPr="006F5910">
              <w:rPr>
                <w:rFonts w:ascii="Times New Roman" w:hAnsi="Times New Roman" w:cs="Times New Roman"/>
                <w:b w:val="0"/>
                <w:sz w:val="24"/>
                <w:szCs w:val="24"/>
                <w:u w:val="none"/>
                <w:lang w:bidi="ar-SA"/>
              </w:rPr>
              <w:t>.</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2013-14</w:t>
            </w:r>
          </w:p>
          <w:p w:rsidR="00D90E9B"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2012-13</w:t>
            </w:r>
          </w:p>
          <w:p w:rsidR="00D90E9B" w:rsidRPr="006F5910" w:rsidRDefault="00D90E9B" w:rsidP="00D90E9B">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2011-12</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w:t>
            </w:r>
            <w:r w:rsidR="00311461">
              <w:rPr>
                <w:rFonts w:ascii="Times New Roman" w:hAnsi="Times New Roman"/>
                <w:b w:val="0"/>
                <w:sz w:val="24"/>
                <w:szCs w:val="24"/>
                <w:u w:val="none"/>
              </w:rPr>
              <w:t>(enclosed copies)</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31146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311461">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EB2564" w:rsidRDefault="00EB2564" w:rsidP="00EB2564">
      <w:pPr>
        <w:pStyle w:val="ListParagraph"/>
        <w:numPr>
          <w:ilvl w:val="2"/>
          <w:numId w:val="38"/>
        </w:numPr>
        <w:ind w:left="720"/>
        <w:contextualSpacing/>
        <w:rPr>
          <w:rFonts w:ascii="Times New Roman" w:hAnsi="Times New Roman"/>
          <w:b/>
        </w:rPr>
      </w:pPr>
      <w:r w:rsidRPr="00EB2564">
        <w:rPr>
          <w:rFonts w:ascii="Times New Roman" w:hAnsi="Times New Roman"/>
        </w:rPr>
        <w:t xml:space="preserve">SCHEDULE FOR REQUIREMENT OF </w:t>
      </w:r>
      <w:r w:rsidR="00DF292A">
        <w:rPr>
          <w:rFonts w:ascii="Times New Roman" w:hAnsi="Times New Roman"/>
          <w:b/>
        </w:rPr>
        <w:t>Analytical Gases</w:t>
      </w:r>
      <w:r w:rsidR="009C0DED" w:rsidRPr="00EB2564">
        <w:rPr>
          <w:rFonts w:ascii="Times New Roman" w:hAnsi="Times New Roman"/>
        </w:rPr>
        <w:t>:</w:t>
      </w:r>
    </w:p>
    <w:p w:rsidR="00551DDA" w:rsidRDefault="00551DDA" w:rsidP="00C96F81">
      <w:pPr>
        <w:spacing w:after="0" w:line="240" w:lineRule="auto"/>
      </w:pPr>
    </w:p>
    <w:tbl>
      <w:tblPr>
        <w:tblW w:w="9114"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
        <w:gridCol w:w="1743"/>
        <w:gridCol w:w="875"/>
        <w:gridCol w:w="1087"/>
        <w:gridCol w:w="625"/>
        <w:gridCol w:w="710"/>
        <w:gridCol w:w="621"/>
        <w:gridCol w:w="624"/>
        <w:gridCol w:w="598"/>
        <w:gridCol w:w="1484"/>
      </w:tblGrid>
      <w:tr w:rsidR="00C96F81" w:rsidRPr="007D76C4" w:rsidTr="00D33313">
        <w:trPr>
          <w:jc w:val="center"/>
        </w:trPr>
        <w:tc>
          <w:tcPr>
            <w:tcW w:w="747" w:type="dxa"/>
            <w:vMerge w:val="restart"/>
            <w:vAlign w:val="center"/>
            <w:hideMark/>
          </w:tcPr>
          <w:p w:rsidR="00C96F81" w:rsidRDefault="00C96F81" w:rsidP="00C96F81">
            <w:pPr>
              <w:spacing w:after="0" w:line="240" w:lineRule="auto"/>
              <w:jc w:val="center"/>
              <w:rPr>
                <w:rFonts w:asciiTheme="minorHAnsi" w:hAnsiTheme="minorHAnsi"/>
                <w:b/>
              </w:rPr>
            </w:pPr>
            <w:r w:rsidRPr="007D76C4">
              <w:rPr>
                <w:rFonts w:asciiTheme="minorHAnsi" w:hAnsiTheme="minorHAnsi"/>
                <w:b/>
              </w:rPr>
              <w:t>S.No</w:t>
            </w:r>
          </w:p>
        </w:tc>
        <w:tc>
          <w:tcPr>
            <w:tcW w:w="1743" w:type="dxa"/>
            <w:vMerge w:val="restart"/>
            <w:vAlign w:val="center"/>
          </w:tcPr>
          <w:p w:rsidR="00C96F81" w:rsidRPr="007D76C4" w:rsidRDefault="00C96F81" w:rsidP="00C96F81">
            <w:pPr>
              <w:spacing w:after="0" w:line="240" w:lineRule="auto"/>
              <w:jc w:val="center"/>
              <w:rPr>
                <w:rFonts w:asciiTheme="minorHAnsi" w:hAnsiTheme="minorHAnsi"/>
                <w:b/>
              </w:rPr>
            </w:pPr>
            <w:r>
              <w:rPr>
                <w:rFonts w:asciiTheme="minorHAnsi" w:hAnsiTheme="minorHAnsi"/>
                <w:b/>
              </w:rPr>
              <w:t>Name of the Gas</w:t>
            </w:r>
          </w:p>
        </w:tc>
        <w:tc>
          <w:tcPr>
            <w:tcW w:w="875" w:type="dxa"/>
            <w:vMerge w:val="restart"/>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 xml:space="preserve">Purity </w:t>
            </w:r>
          </w:p>
          <w:p w:rsidR="00C96F81" w:rsidRPr="007D76C4" w:rsidRDefault="00C96F81" w:rsidP="00C96F81">
            <w:pPr>
              <w:spacing w:after="0" w:line="240" w:lineRule="auto"/>
              <w:jc w:val="center"/>
              <w:rPr>
                <w:rFonts w:asciiTheme="minorHAnsi" w:hAnsiTheme="minorHAnsi"/>
                <w:b/>
              </w:rPr>
            </w:pPr>
            <w:r>
              <w:rPr>
                <w:rFonts w:asciiTheme="minorHAnsi" w:hAnsiTheme="minorHAnsi"/>
                <w:b/>
              </w:rPr>
              <w:t>(%)</w:t>
            </w:r>
          </w:p>
        </w:tc>
        <w:tc>
          <w:tcPr>
            <w:tcW w:w="4265" w:type="dxa"/>
            <w:gridSpan w:val="6"/>
            <w:vAlign w:val="center"/>
          </w:tcPr>
          <w:p w:rsidR="00C96F81" w:rsidRDefault="00C96F81" w:rsidP="00C96F81">
            <w:pPr>
              <w:spacing w:after="0" w:line="240" w:lineRule="auto"/>
              <w:jc w:val="center"/>
              <w:rPr>
                <w:rFonts w:asciiTheme="minorHAnsi" w:hAnsiTheme="minorHAnsi"/>
                <w:b/>
              </w:rPr>
            </w:pPr>
            <w:r>
              <w:rPr>
                <w:rFonts w:asciiTheme="minorHAnsi" w:hAnsiTheme="minorHAnsi"/>
                <w:b/>
              </w:rPr>
              <w:t>Impurities should be less than (in ppm)</w:t>
            </w:r>
          </w:p>
        </w:tc>
        <w:tc>
          <w:tcPr>
            <w:tcW w:w="1484" w:type="dxa"/>
            <w:vMerge w:val="restart"/>
            <w:vAlign w:val="center"/>
            <w:hideMark/>
          </w:tcPr>
          <w:p w:rsidR="00C96F81" w:rsidRDefault="00C96F81" w:rsidP="00C96F81">
            <w:pPr>
              <w:spacing w:after="0" w:line="240" w:lineRule="auto"/>
              <w:jc w:val="center"/>
              <w:rPr>
                <w:rFonts w:asciiTheme="minorHAnsi" w:hAnsiTheme="minorHAnsi"/>
                <w:b/>
              </w:rPr>
            </w:pPr>
            <w:r>
              <w:rPr>
                <w:rFonts w:asciiTheme="minorHAnsi" w:hAnsiTheme="minorHAnsi"/>
                <w:b/>
              </w:rPr>
              <w:t>Quantity</w:t>
            </w:r>
          </w:p>
          <w:p w:rsidR="00D33313" w:rsidRPr="00D33313" w:rsidRDefault="00D33313" w:rsidP="00C96F81">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r>
      <w:tr w:rsidR="00C96F81" w:rsidRPr="007D76C4" w:rsidTr="00D33313">
        <w:trPr>
          <w:trHeight w:val="158"/>
          <w:jc w:val="center"/>
        </w:trPr>
        <w:tc>
          <w:tcPr>
            <w:tcW w:w="747" w:type="dxa"/>
            <w:vMerge/>
            <w:vAlign w:val="center"/>
            <w:hideMark/>
          </w:tcPr>
          <w:p w:rsidR="00C96F81" w:rsidRDefault="00C96F81" w:rsidP="00C96F81">
            <w:pPr>
              <w:spacing w:after="0" w:line="240" w:lineRule="auto"/>
              <w:jc w:val="center"/>
              <w:rPr>
                <w:rFonts w:asciiTheme="minorHAnsi" w:hAnsiTheme="minorHAnsi"/>
              </w:rPr>
            </w:pPr>
          </w:p>
        </w:tc>
        <w:tc>
          <w:tcPr>
            <w:tcW w:w="1743" w:type="dxa"/>
            <w:vMerge/>
            <w:vAlign w:val="center"/>
          </w:tcPr>
          <w:p w:rsidR="00C96F81" w:rsidRDefault="00C96F81" w:rsidP="00C96F81">
            <w:pPr>
              <w:spacing w:after="0" w:line="240" w:lineRule="auto"/>
              <w:jc w:val="center"/>
              <w:rPr>
                <w:rFonts w:asciiTheme="minorHAnsi" w:hAnsiTheme="minorHAnsi"/>
              </w:rPr>
            </w:pPr>
          </w:p>
        </w:tc>
        <w:tc>
          <w:tcPr>
            <w:tcW w:w="875" w:type="dxa"/>
            <w:vMerge/>
            <w:vAlign w:val="center"/>
          </w:tcPr>
          <w:p w:rsidR="00C96F81" w:rsidRDefault="00C96F81" w:rsidP="00C96F81">
            <w:pPr>
              <w:spacing w:after="0" w:line="240" w:lineRule="auto"/>
              <w:jc w:val="center"/>
              <w:rPr>
                <w:rFonts w:asciiTheme="minorHAnsi" w:hAnsiTheme="minorHAnsi"/>
                <w:sz w:val="20"/>
              </w:rPr>
            </w:pPr>
          </w:p>
        </w:tc>
        <w:tc>
          <w:tcPr>
            <w:tcW w:w="1087"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625"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710"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THC</w:t>
            </w:r>
          </w:p>
        </w:tc>
        <w:tc>
          <w:tcPr>
            <w:tcW w:w="621"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p>
        </w:tc>
        <w:tc>
          <w:tcPr>
            <w:tcW w:w="624"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98" w:type="dxa"/>
            <w:vAlign w:val="center"/>
          </w:tcPr>
          <w:p w:rsidR="00C96F81" w:rsidRPr="00C46626" w:rsidRDefault="00C96F81" w:rsidP="00593AEA">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484" w:type="dxa"/>
            <w:vMerge/>
            <w:vAlign w:val="center"/>
            <w:hideMark/>
          </w:tcPr>
          <w:p w:rsidR="00C96F81" w:rsidRDefault="00C96F81" w:rsidP="00C96F81">
            <w:pPr>
              <w:spacing w:after="0" w:line="240" w:lineRule="auto"/>
              <w:jc w:val="center"/>
              <w:rPr>
                <w:rFonts w:asciiTheme="minorHAnsi" w:hAnsiTheme="minorHAnsi"/>
              </w:rPr>
            </w:pPr>
          </w:p>
        </w:tc>
      </w:tr>
      <w:tr w:rsidR="00C96F81" w:rsidRPr="007D76C4" w:rsidTr="00D33313">
        <w:trPr>
          <w:trHeight w:val="158"/>
          <w:jc w:val="center"/>
        </w:trPr>
        <w:tc>
          <w:tcPr>
            <w:tcW w:w="747"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1</w:t>
            </w:r>
          </w:p>
        </w:tc>
        <w:tc>
          <w:tcPr>
            <w:tcW w:w="1743" w:type="dxa"/>
          </w:tcPr>
          <w:p w:rsidR="00C96F81" w:rsidRPr="007D76C4" w:rsidRDefault="00C96F81" w:rsidP="00593AEA">
            <w:pPr>
              <w:spacing w:after="0" w:line="480" w:lineRule="auto"/>
              <w:rPr>
                <w:rFonts w:asciiTheme="minorHAnsi" w:hAnsiTheme="minorHAnsi"/>
              </w:rPr>
            </w:pPr>
            <w:r>
              <w:rPr>
                <w:rFonts w:asciiTheme="minorHAnsi" w:hAnsiTheme="minorHAnsi"/>
              </w:rPr>
              <w:t>Nitrogen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hideMark/>
          </w:tcPr>
          <w:p w:rsidR="00C96F81" w:rsidRPr="007D76C4" w:rsidRDefault="00C96F81" w:rsidP="00593AEA">
            <w:pPr>
              <w:spacing w:after="0" w:line="480" w:lineRule="auto"/>
              <w:jc w:val="center"/>
              <w:rPr>
                <w:rFonts w:asciiTheme="minorHAnsi" w:hAnsiTheme="minorHAnsi"/>
              </w:rPr>
            </w:pPr>
            <w:r>
              <w:rPr>
                <w:rFonts w:asciiTheme="minorHAnsi" w:hAnsiTheme="minorHAnsi"/>
              </w:rPr>
              <w:t>42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2</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Hydrogen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140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20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3</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Air</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19.5-23.5</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28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4</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Helium</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1.0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3.0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12 cylinders</w:t>
            </w:r>
          </w:p>
        </w:tc>
      </w:tr>
      <w:tr w:rsidR="00C96F81" w:rsidRPr="007D76C4" w:rsidTr="00D33313">
        <w:trPr>
          <w:trHeight w:val="70"/>
          <w:jc w:val="center"/>
        </w:trPr>
        <w:tc>
          <w:tcPr>
            <w:tcW w:w="747" w:type="dxa"/>
          </w:tcPr>
          <w:p w:rsidR="00C96F81" w:rsidRDefault="00C96F81" w:rsidP="00593AEA">
            <w:pPr>
              <w:spacing w:after="0" w:line="480" w:lineRule="auto"/>
              <w:jc w:val="center"/>
              <w:rPr>
                <w:rFonts w:asciiTheme="minorHAnsi" w:hAnsiTheme="minorHAnsi"/>
              </w:rPr>
            </w:pPr>
            <w:r>
              <w:rPr>
                <w:rFonts w:asciiTheme="minorHAnsi" w:hAnsiTheme="minorHAnsi"/>
              </w:rPr>
              <w:t>5</w:t>
            </w:r>
          </w:p>
        </w:tc>
        <w:tc>
          <w:tcPr>
            <w:tcW w:w="1743" w:type="dxa"/>
          </w:tcPr>
          <w:p w:rsidR="00C96F81" w:rsidRDefault="00C96F81" w:rsidP="00593AEA">
            <w:pPr>
              <w:spacing w:after="0" w:line="480" w:lineRule="auto"/>
              <w:rPr>
                <w:rFonts w:asciiTheme="minorHAnsi" w:hAnsiTheme="minorHAnsi"/>
              </w:rPr>
            </w:pPr>
            <w:r>
              <w:rPr>
                <w:rFonts w:asciiTheme="minorHAnsi" w:hAnsiTheme="minorHAnsi"/>
              </w:rPr>
              <w:t>Argon</w:t>
            </w:r>
          </w:p>
        </w:tc>
        <w:tc>
          <w:tcPr>
            <w:tcW w:w="875" w:type="dxa"/>
          </w:tcPr>
          <w:p w:rsidR="00C96F81" w:rsidRPr="004E6B70" w:rsidRDefault="00C96F81" w:rsidP="00593AEA">
            <w:pPr>
              <w:spacing w:after="0" w:line="480" w:lineRule="auto"/>
              <w:rPr>
                <w:rFonts w:asciiTheme="minorHAnsi" w:hAnsiTheme="minorHAnsi"/>
                <w:sz w:val="20"/>
              </w:rPr>
            </w:pPr>
            <w:r>
              <w:rPr>
                <w:rFonts w:asciiTheme="minorHAnsi" w:hAnsiTheme="minorHAnsi"/>
                <w:sz w:val="20"/>
              </w:rPr>
              <w:t>99.9995</w:t>
            </w:r>
          </w:p>
        </w:tc>
        <w:tc>
          <w:tcPr>
            <w:tcW w:w="1087"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625"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710"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1"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0.2</w:t>
            </w:r>
          </w:p>
        </w:tc>
        <w:tc>
          <w:tcPr>
            <w:tcW w:w="624"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0.5</w:t>
            </w:r>
          </w:p>
        </w:tc>
        <w:tc>
          <w:tcPr>
            <w:tcW w:w="598" w:type="dxa"/>
          </w:tcPr>
          <w:p w:rsidR="00C96F81" w:rsidRPr="004E6B70" w:rsidRDefault="00C96F81" w:rsidP="00593AEA">
            <w:pPr>
              <w:spacing w:after="0" w:line="480" w:lineRule="auto"/>
              <w:jc w:val="center"/>
              <w:rPr>
                <w:rFonts w:asciiTheme="minorHAnsi" w:hAnsiTheme="minorHAnsi"/>
                <w:sz w:val="20"/>
              </w:rPr>
            </w:pPr>
            <w:r>
              <w:rPr>
                <w:rFonts w:asciiTheme="minorHAnsi" w:hAnsiTheme="minorHAnsi"/>
                <w:sz w:val="20"/>
              </w:rPr>
              <w:t>2.0</w:t>
            </w:r>
          </w:p>
        </w:tc>
        <w:tc>
          <w:tcPr>
            <w:tcW w:w="1484" w:type="dxa"/>
          </w:tcPr>
          <w:p w:rsidR="00C96F81" w:rsidRPr="007D76C4" w:rsidRDefault="00C96F81" w:rsidP="00593AEA">
            <w:pPr>
              <w:spacing w:after="0" w:line="480" w:lineRule="auto"/>
              <w:jc w:val="center"/>
              <w:rPr>
                <w:rFonts w:asciiTheme="minorHAnsi" w:hAnsiTheme="minorHAnsi"/>
              </w:rPr>
            </w:pPr>
            <w:r>
              <w:rPr>
                <w:rFonts w:asciiTheme="minorHAnsi" w:hAnsiTheme="minorHAnsi"/>
              </w:rPr>
              <w:t>4 cylinders</w:t>
            </w:r>
          </w:p>
        </w:tc>
      </w:tr>
      <w:tr w:rsidR="00323D83" w:rsidRPr="007D76C4" w:rsidTr="007B4626">
        <w:trPr>
          <w:trHeight w:val="70"/>
          <w:jc w:val="center"/>
        </w:trPr>
        <w:tc>
          <w:tcPr>
            <w:tcW w:w="747" w:type="dxa"/>
          </w:tcPr>
          <w:p w:rsidR="00323D83" w:rsidRDefault="00323D83" w:rsidP="00593AEA">
            <w:pPr>
              <w:spacing w:after="0" w:line="480" w:lineRule="auto"/>
              <w:jc w:val="center"/>
              <w:rPr>
                <w:rFonts w:asciiTheme="minorHAnsi" w:hAnsiTheme="minorHAnsi"/>
              </w:rPr>
            </w:pPr>
            <w:r>
              <w:rPr>
                <w:rFonts w:asciiTheme="minorHAnsi" w:hAnsiTheme="minorHAnsi"/>
              </w:rPr>
              <w:t>6</w:t>
            </w:r>
          </w:p>
        </w:tc>
        <w:tc>
          <w:tcPr>
            <w:tcW w:w="6883" w:type="dxa"/>
            <w:gridSpan w:val="8"/>
          </w:tcPr>
          <w:p w:rsidR="00323D83" w:rsidRDefault="00323D83" w:rsidP="00323D83">
            <w:pPr>
              <w:spacing w:after="0" w:line="480" w:lineRule="auto"/>
              <w:rPr>
                <w:rFonts w:asciiTheme="minorHAnsi" w:hAnsiTheme="minorHAnsi"/>
                <w:sz w:val="20"/>
              </w:rPr>
            </w:pPr>
            <w:r w:rsidRPr="001A6D9A">
              <w:rPr>
                <w:rFonts w:asciiTheme="minorHAnsi" w:hAnsiTheme="minorHAnsi"/>
                <w:b/>
                <w:bCs/>
              </w:rPr>
              <w:t>Hiring / Rental charges for Bidder Cylinder per day</w:t>
            </w:r>
          </w:p>
        </w:tc>
        <w:tc>
          <w:tcPr>
            <w:tcW w:w="1484" w:type="dxa"/>
          </w:tcPr>
          <w:p w:rsidR="00323D83" w:rsidRDefault="00323D83" w:rsidP="00593AEA">
            <w:pPr>
              <w:spacing w:after="0" w:line="480" w:lineRule="auto"/>
              <w:jc w:val="center"/>
              <w:rPr>
                <w:rFonts w:asciiTheme="minorHAnsi" w:hAnsiTheme="minorHAnsi"/>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Default="00D207BA" w:rsidP="00EB2564">
      <w:pPr>
        <w:pStyle w:val="ListParagraph"/>
        <w:numPr>
          <w:ilvl w:val="2"/>
          <w:numId w:val="38"/>
        </w:numPr>
        <w:suppressAutoHyphens w:val="0"/>
        <w:ind w:left="720"/>
        <w:contextualSpacing/>
        <w:rPr>
          <w:rFonts w:ascii="Times New Roman" w:hAnsi="Times New Roman"/>
          <w:b/>
        </w:rPr>
      </w:pPr>
      <w:r>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9C0DED">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Pr>
          <w:rFonts w:ascii="Times New Roman" w:hAnsi="Times New Roman"/>
          <w:b/>
        </w:rPr>
        <w:t>Analytical Gases</w:t>
      </w:r>
    </w:p>
    <w:p w:rsidR="009C0DED" w:rsidRPr="00EB2564" w:rsidRDefault="00A65DD6" w:rsidP="00D05DDB">
      <w:pPr>
        <w:pStyle w:val="ListParagraph"/>
        <w:suppressAutoHyphens w:val="0"/>
        <w:ind w:left="0" w:firstLine="720"/>
        <w:contextualSpacing/>
        <w:jc w:val="center"/>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2D2B69" w:rsidRDefault="002D2B69" w:rsidP="00D816E1">
      <w:pPr>
        <w:pStyle w:val="ListParagraph"/>
        <w:suppressAutoHyphens w:val="0"/>
        <w:ind w:left="0"/>
        <w:contextualSpacing/>
        <w:jc w:val="center"/>
        <w:rPr>
          <w:rFonts w:ascii="Times New Roman" w:hAnsi="Times New Roman"/>
          <w:b/>
        </w:rPr>
      </w:pPr>
    </w:p>
    <w:tbl>
      <w:tblPr>
        <w:tblW w:w="10574" w:type="dxa"/>
        <w:jc w:val="center"/>
        <w:tblInd w:w="-4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1136"/>
        <w:gridCol w:w="875"/>
        <w:gridCol w:w="981"/>
        <w:gridCol w:w="544"/>
        <w:gridCol w:w="604"/>
        <w:gridCol w:w="470"/>
        <w:gridCol w:w="527"/>
        <w:gridCol w:w="526"/>
        <w:gridCol w:w="1170"/>
        <w:gridCol w:w="704"/>
        <w:gridCol w:w="969"/>
        <w:gridCol w:w="627"/>
        <w:gridCol w:w="959"/>
      </w:tblGrid>
      <w:tr w:rsidR="005B7136" w:rsidRPr="007D76C4" w:rsidTr="005B7136">
        <w:trPr>
          <w:jc w:val="center"/>
        </w:trPr>
        <w:tc>
          <w:tcPr>
            <w:tcW w:w="482" w:type="dxa"/>
            <w:vMerge w:val="restart"/>
            <w:vAlign w:val="center"/>
            <w:hideMark/>
          </w:tcPr>
          <w:p w:rsidR="005B7136" w:rsidRDefault="005B7136" w:rsidP="005B7136">
            <w:pPr>
              <w:spacing w:after="0" w:line="240" w:lineRule="auto"/>
              <w:jc w:val="center"/>
              <w:rPr>
                <w:rFonts w:asciiTheme="minorHAnsi" w:hAnsiTheme="minorHAnsi"/>
                <w:b/>
              </w:rPr>
            </w:pPr>
            <w:r w:rsidRPr="007D76C4">
              <w:rPr>
                <w:rFonts w:asciiTheme="minorHAnsi" w:hAnsiTheme="minorHAnsi"/>
                <w:b/>
              </w:rPr>
              <w:t>S</w:t>
            </w:r>
            <w:r>
              <w:rPr>
                <w:rFonts w:asciiTheme="minorHAnsi" w:hAnsiTheme="minorHAnsi"/>
                <w:b/>
              </w:rPr>
              <w:t>l</w:t>
            </w:r>
            <w:r w:rsidRPr="007D76C4">
              <w:rPr>
                <w:rFonts w:asciiTheme="minorHAnsi" w:hAnsiTheme="minorHAnsi"/>
                <w:b/>
              </w:rPr>
              <w:t>.</w:t>
            </w:r>
          </w:p>
          <w:p w:rsidR="005B7136" w:rsidRDefault="005B7136" w:rsidP="005B7136">
            <w:pPr>
              <w:spacing w:after="0" w:line="240" w:lineRule="auto"/>
              <w:jc w:val="center"/>
              <w:rPr>
                <w:rFonts w:asciiTheme="minorHAnsi" w:hAnsiTheme="minorHAnsi"/>
                <w:b/>
              </w:rPr>
            </w:pPr>
            <w:r w:rsidRPr="007D76C4">
              <w:rPr>
                <w:rFonts w:asciiTheme="minorHAnsi" w:hAnsiTheme="minorHAnsi"/>
                <w:b/>
              </w:rPr>
              <w:t>No</w:t>
            </w:r>
          </w:p>
        </w:tc>
        <w:tc>
          <w:tcPr>
            <w:tcW w:w="1136"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Name of</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the Gas</w:t>
            </w:r>
          </w:p>
        </w:tc>
        <w:tc>
          <w:tcPr>
            <w:tcW w:w="875"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Purity</w:t>
            </w:r>
          </w:p>
          <w:p w:rsidR="005B7136" w:rsidRPr="007D76C4" w:rsidRDefault="005B7136" w:rsidP="005B7136">
            <w:pPr>
              <w:spacing w:after="0" w:line="240" w:lineRule="auto"/>
              <w:jc w:val="center"/>
              <w:rPr>
                <w:rFonts w:asciiTheme="minorHAnsi" w:hAnsiTheme="minorHAnsi"/>
                <w:b/>
              </w:rPr>
            </w:pPr>
            <w:r>
              <w:rPr>
                <w:rFonts w:asciiTheme="minorHAnsi" w:hAnsiTheme="minorHAnsi"/>
                <w:b/>
              </w:rPr>
              <w:t>(%)</w:t>
            </w:r>
          </w:p>
        </w:tc>
        <w:tc>
          <w:tcPr>
            <w:tcW w:w="3652" w:type="dxa"/>
            <w:gridSpan w:val="6"/>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Impurities should be less than</w:t>
            </w:r>
          </w:p>
          <w:p w:rsidR="005B7136" w:rsidRDefault="005B7136" w:rsidP="005B7136">
            <w:pPr>
              <w:spacing w:after="0" w:line="240" w:lineRule="auto"/>
              <w:jc w:val="center"/>
              <w:rPr>
                <w:rFonts w:asciiTheme="minorHAnsi" w:hAnsiTheme="minorHAnsi"/>
                <w:b/>
              </w:rPr>
            </w:pPr>
            <w:r>
              <w:rPr>
                <w:rFonts w:asciiTheme="minorHAnsi" w:hAnsiTheme="minorHAnsi"/>
                <w:b/>
              </w:rPr>
              <w:t>(in ppm)</w:t>
            </w:r>
          </w:p>
        </w:tc>
        <w:tc>
          <w:tcPr>
            <w:tcW w:w="1170" w:type="dxa"/>
            <w:vMerge w:val="restart"/>
            <w:vAlign w:val="center"/>
            <w:hideMark/>
          </w:tcPr>
          <w:p w:rsidR="005B7136" w:rsidRDefault="005B7136" w:rsidP="005B7136">
            <w:pPr>
              <w:spacing w:after="0" w:line="240" w:lineRule="auto"/>
              <w:jc w:val="center"/>
              <w:rPr>
                <w:rFonts w:asciiTheme="minorHAnsi" w:hAnsiTheme="minorHAnsi"/>
                <w:b/>
              </w:rPr>
            </w:pPr>
            <w:r>
              <w:rPr>
                <w:rFonts w:asciiTheme="minorHAnsi" w:hAnsiTheme="minorHAnsi"/>
                <w:b/>
              </w:rPr>
              <w:t>Quantity</w:t>
            </w:r>
          </w:p>
          <w:p w:rsidR="005B7136" w:rsidRPr="00D33313" w:rsidRDefault="005B7136" w:rsidP="005B7136">
            <w:pPr>
              <w:spacing w:after="0" w:line="240" w:lineRule="auto"/>
              <w:jc w:val="center"/>
              <w:rPr>
                <w:rFonts w:asciiTheme="minorHAnsi" w:hAnsiTheme="minorHAnsi"/>
                <w:b/>
                <w:sz w:val="16"/>
                <w:szCs w:val="16"/>
              </w:rPr>
            </w:pPr>
            <w:r w:rsidRPr="00D33313">
              <w:rPr>
                <w:rFonts w:asciiTheme="minorHAnsi" w:hAnsiTheme="minorHAnsi"/>
                <w:b/>
                <w:sz w:val="16"/>
                <w:szCs w:val="16"/>
              </w:rPr>
              <w:t>(7m</w:t>
            </w:r>
            <w:r w:rsidRPr="00D33313">
              <w:rPr>
                <w:rFonts w:asciiTheme="minorHAnsi" w:hAnsiTheme="minorHAnsi"/>
                <w:b/>
                <w:sz w:val="16"/>
                <w:szCs w:val="16"/>
                <w:vertAlign w:val="superscript"/>
              </w:rPr>
              <w:t>3</w:t>
            </w:r>
            <w:r w:rsidRPr="00D33313">
              <w:rPr>
                <w:rFonts w:asciiTheme="minorHAnsi" w:hAnsiTheme="minorHAnsi"/>
                <w:b/>
                <w:sz w:val="16"/>
                <w:szCs w:val="16"/>
              </w:rPr>
              <w:t xml:space="preserve"> per cylinder)</w:t>
            </w:r>
          </w:p>
        </w:tc>
        <w:tc>
          <w:tcPr>
            <w:tcW w:w="1673" w:type="dxa"/>
            <w:gridSpan w:val="2"/>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Rate</w:t>
            </w:r>
          </w:p>
        </w:tc>
        <w:tc>
          <w:tcPr>
            <w:tcW w:w="627"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Tax</w:t>
            </w:r>
          </w:p>
        </w:tc>
        <w:tc>
          <w:tcPr>
            <w:tcW w:w="959" w:type="dxa"/>
            <w:vMerge w:val="restart"/>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Amount</w:t>
            </w:r>
          </w:p>
        </w:tc>
      </w:tr>
      <w:tr w:rsidR="005B7136" w:rsidRPr="007D76C4" w:rsidTr="005B7136">
        <w:trPr>
          <w:trHeight w:val="158"/>
          <w:jc w:val="center"/>
        </w:trPr>
        <w:tc>
          <w:tcPr>
            <w:tcW w:w="482" w:type="dxa"/>
            <w:vMerge/>
            <w:vAlign w:val="center"/>
            <w:hideMark/>
          </w:tcPr>
          <w:p w:rsidR="005B7136" w:rsidRDefault="005B7136" w:rsidP="005B7136">
            <w:pPr>
              <w:spacing w:after="0" w:line="240" w:lineRule="auto"/>
              <w:jc w:val="center"/>
              <w:rPr>
                <w:rFonts w:asciiTheme="minorHAnsi" w:hAnsiTheme="minorHAnsi"/>
              </w:rPr>
            </w:pPr>
          </w:p>
        </w:tc>
        <w:tc>
          <w:tcPr>
            <w:tcW w:w="1136" w:type="dxa"/>
            <w:vMerge/>
            <w:vAlign w:val="center"/>
          </w:tcPr>
          <w:p w:rsidR="005B7136" w:rsidRDefault="005B7136" w:rsidP="005B7136">
            <w:pPr>
              <w:spacing w:after="0" w:line="240" w:lineRule="auto"/>
              <w:jc w:val="center"/>
              <w:rPr>
                <w:rFonts w:asciiTheme="minorHAnsi" w:hAnsiTheme="minorHAnsi"/>
              </w:rPr>
            </w:pPr>
          </w:p>
        </w:tc>
        <w:tc>
          <w:tcPr>
            <w:tcW w:w="875" w:type="dxa"/>
            <w:vMerge/>
            <w:vAlign w:val="center"/>
          </w:tcPr>
          <w:p w:rsidR="005B7136" w:rsidRDefault="005B7136" w:rsidP="005B7136">
            <w:pPr>
              <w:spacing w:after="0" w:line="240" w:lineRule="auto"/>
              <w:jc w:val="center"/>
              <w:rPr>
                <w:rFonts w:asciiTheme="minorHAnsi" w:hAnsiTheme="minorHAnsi"/>
                <w:sz w:val="20"/>
              </w:rPr>
            </w:pPr>
          </w:p>
        </w:tc>
        <w:tc>
          <w:tcPr>
            <w:tcW w:w="981"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O</w:t>
            </w:r>
            <w:r w:rsidRPr="00C46626">
              <w:rPr>
                <w:rFonts w:asciiTheme="minorHAnsi" w:hAnsiTheme="minorHAnsi"/>
                <w:b/>
                <w:sz w:val="20"/>
                <w:vertAlign w:val="subscript"/>
              </w:rPr>
              <w:t>2</w:t>
            </w:r>
          </w:p>
        </w:tc>
        <w:tc>
          <w:tcPr>
            <w:tcW w:w="54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H</w:t>
            </w:r>
            <w:r w:rsidRPr="00C46626">
              <w:rPr>
                <w:rFonts w:asciiTheme="minorHAnsi" w:hAnsiTheme="minorHAnsi"/>
                <w:b/>
                <w:sz w:val="20"/>
                <w:vertAlign w:val="subscript"/>
              </w:rPr>
              <w:t>2</w:t>
            </w:r>
            <w:r w:rsidRPr="00C46626">
              <w:rPr>
                <w:rFonts w:asciiTheme="minorHAnsi" w:hAnsiTheme="minorHAnsi"/>
                <w:b/>
                <w:sz w:val="20"/>
              </w:rPr>
              <w:t>O</w:t>
            </w:r>
          </w:p>
        </w:tc>
        <w:tc>
          <w:tcPr>
            <w:tcW w:w="604"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THC</w:t>
            </w:r>
          </w:p>
        </w:tc>
        <w:tc>
          <w:tcPr>
            <w:tcW w:w="470"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p>
        </w:tc>
        <w:tc>
          <w:tcPr>
            <w:tcW w:w="527"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CO</w:t>
            </w:r>
            <w:r w:rsidRPr="00C46626">
              <w:rPr>
                <w:rFonts w:asciiTheme="minorHAnsi" w:hAnsiTheme="minorHAnsi"/>
                <w:b/>
                <w:sz w:val="20"/>
                <w:vertAlign w:val="subscript"/>
              </w:rPr>
              <w:t>2</w:t>
            </w:r>
          </w:p>
        </w:tc>
        <w:tc>
          <w:tcPr>
            <w:tcW w:w="526" w:type="dxa"/>
            <w:vAlign w:val="center"/>
          </w:tcPr>
          <w:p w:rsidR="005B7136" w:rsidRPr="00C46626" w:rsidRDefault="005B7136" w:rsidP="005B7136">
            <w:pPr>
              <w:spacing w:after="0" w:line="480" w:lineRule="auto"/>
              <w:jc w:val="center"/>
              <w:rPr>
                <w:rFonts w:asciiTheme="minorHAnsi" w:hAnsiTheme="minorHAnsi"/>
                <w:b/>
                <w:sz w:val="20"/>
              </w:rPr>
            </w:pPr>
            <w:r w:rsidRPr="00C46626">
              <w:rPr>
                <w:rFonts w:asciiTheme="minorHAnsi" w:hAnsiTheme="minorHAnsi"/>
                <w:b/>
                <w:sz w:val="20"/>
              </w:rPr>
              <w:t>N</w:t>
            </w:r>
            <w:r w:rsidRPr="00C46626">
              <w:rPr>
                <w:rFonts w:asciiTheme="minorHAnsi" w:hAnsiTheme="minorHAnsi"/>
                <w:b/>
                <w:sz w:val="20"/>
                <w:vertAlign w:val="subscript"/>
              </w:rPr>
              <w:t>2</w:t>
            </w:r>
          </w:p>
        </w:tc>
        <w:tc>
          <w:tcPr>
            <w:tcW w:w="1170" w:type="dxa"/>
            <w:vMerge/>
            <w:vAlign w:val="center"/>
            <w:hideMark/>
          </w:tcPr>
          <w:p w:rsidR="005B7136" w:rsidRDefault="005B7136" w:rsidP="005B7136">
            <w:pPr>
              <w:spacing w:after="0" w:line="240" w:lineRule="auto"/>
              <w:jc w:val="center"/>
              <w:rPr>
                <w:rFonts w:asciiTheme="minorHAnsi" w:hAnsiTheme="minorHAnsi"/>
              </w:rPr>
            </w:pPr>
          </w:p>
        </w:tc>
        <w:tc>
          <w:tcPr>
            <w:tcW w:w="704" w:type="dxa"/>
            <w:vAlign w:val="center"/>
          </w:tcPr>
          <w:p w:rsidR="005B7136" w:rsidRDefault="005B7136" w:rsidP="005B7136">
            <w:pPr>
              <w:spacing w:after="0" w:line="240" w:lineRule="auto"/>
              <w:jc w:val="center"/>
              <w:rPr>
                <w:rFonts w:asciiTheme="minorHAnsi" w:hAnsiTheme="minorHAnsi"/>
                <w:b/>
              </w:rPr>
            </w:pPr>
            <w:r>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m3</w:t>
            </w:r>
          </w:p>
        </w:tc>
        <w:tc>
          <w:tcPr>
            <w:tcW w:w="969" w:type="dxa"/>
            <w:vAlign w:val="center"/>
          </w:tcPr>
          <w:p w:rsidR="005B7136" w:rsidRDefault="005B7136" w:rsidP="005B7136">
            <w:pPr>
              <w:spacing w:after="0" w:line="240" w:lineRule="auto"/>
              <w:jc w:val="center"/>
              <w:rPr>
                <w:rFonts w:asciiTheme="minorHAnsi" w:hAnsiTheme="minorHAnsi"/>
                <w:b/>
              </w:rPr>
            </w:pPr>
            <w:r w:rsidRPr="002F05DE">
              <w:rPr>
                <w:rFonts w:asciiTheme="minorHAnsi" w:hAnsiTheme="minorHAnsi"/>
                <w:b/>
              </w:rPr>
              <w:t>Per</w:t>
            </w:r>
          </w:p>
          <w:p w:rsidR="005B7136" w:rsidRDefault="005B7136" w:rsidP="005B7136">
            <w:pPr>
              <w:spacing w:after="0" w:line="240" w:lineRule="auto"/>
              <w:jc w:val="center"/>
              <w:rPr>
                <w:rFonts w:asciiTheme="minorHAnsi" w:hAnsiTheme="minorHAnsi"/>
              </w:rPr>
            </w:pPr>
            <w:r w:rsidRPr="002F05DE">
              <w:rPr>
                <w:rFonts w:asciiTheme="minorHAnsi" w:hAnsiTheme="minorHAnsi"/>
                <w:b/>
              </w:rPr>
              <w:t>Cylinde</w:t>
            </w:r>
            <w:r>
              <w:rPr>
                <w:rFonts w:asciiTheme="minorHAnsi" w:hAnsiTheme="minorHAnsi"/>
              </w:rPr>
              <w:t>r</w:t>
            </w:r>
          </w:p>
        </w:tc>
        <w:tc>
          <w:tcPr>
            <w:tcW w:w="627" w:type="dxa"/>
            <w:vMerge/>
            <w:vAlign w:val="center"/>
          </w:tcPr>
          <w:p w:rsidR="005B7136" w:rsidRDefault="005B7136" w:rsidP="005B7136">
            <w:pPr>
              <w:spacing w:after="0" w:line="240" w:lineRule="auto"/>
              <w:jc w:val="center"/>
              <w:rPr>
                <w:rFonts w:asciiTheme="minorHAnsi" w:hAnsiTheme="minorHAnsi"/>
              </w:rPr>
            </w:pPr>
          </w:p>
        </w:tc>
        <w:tc>
          <w:tcPr>
            <w:tcW w:w="959" w:type="dxa"/>
            <w:vMerge/>
            <w:vAlign w:val="center"/>
          </w:tcPr>
          <w:p w:rsidR="005B7136" w:rsidRDefault="005B7136" w:rsidP="005B7136">
            <w:pPr>
              <w:spacing w:after="0" w:line="240" w:lineRule="auto"/>
              <w:jc w:val="center"/>
              <w:rPr>
                <w:rFonts w:asciiTheme="minorHAnsi" w:hAnsiTheme="minorHAnsi"/>
              </w:rPr>
            </w:pPr>
          </w:p>
        </w:tc>
      </w:tr>
      <w:tr w:rsidR="005B7136" w:rsidRPr="007D76C4" w:rsidTr="00FD3BAC">
        <w:trPr>
          <w:trHeight w:val="158"/>
          <w:jc w:val="center"/>
        </w:trPr>
        <w:tc>
          <w:tcPr>
            <w:tcW w:w="482"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1</w:t>
            </w:r>
          </w:p>
        </w:tc>
        <w:tc>
          <w:tcPr>
            <w:tcW w:w="1136" w:type="dxa"/>
            <w:vAlign w:val="center"/>
          </w:tcPr>
          <w:p w:rsidR="005B7136" w:rsidRPr="007D76C4" w:rsidRDefault="005B7136" w:rsidP="00FD3BAC">
            <w:pPr>
              <w:spacing w:after="0" w:line="240" w:lineRule="auto"/>
              <w:rPr>
                <w:rFonts w:asciiTheme="minorHAnsi" w:hAnsiTheme="minorHAnsi"/>
              </w:rPr>
            </w:pPr>
            <w:r>
              <w:rPr>
                <w:rFonts w:asciiTheme="minorHAnsi" w:hAnsiTheme="minorHAnsi"/>
              </w:rPr>
              <w:t>Nitrogen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hideMark/>
          </w:tcPr>
          <w:p w:rsidR="005B7136" w:rsidRPr="007D76C4" w:rsidRDefault="005B7136" w:rsidP="00FD3BAC">
            <w:pPr>
              <w:spacing w:after="0" w:line="240" w:lineRule="auto"/>
              <w:jc w:val="center"/>
              <w:rPr>
                <w:rFonts w:asciiTheme="minorHAnsi" w:hAnsiTheme="minorHAnsi"/>
              </w:rPr>
            </w:pPr>
            <w:r>
              <w:rPr>
                <w:rFonts w:asciiTheme="minorHAnsi" w:hAnsiTheme="minorHAnsi"/>
              </w:rPr>
              <w:t>42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2</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Hydrogen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140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20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3</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Air</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19.5-23.5</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28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4</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Helium</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1.0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3.0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12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5B7136" w:rsidRPr="007D76C4" w:rsidTr="00FD3BAC">
        <w:trPr>
          <w:trHeight w:val="70"/>
          <w:jc w:val="center"/>
        </w:trPr>
        <w:tc>
          <w:tcPr>
            <w:tcW w:w="482" w:type="dxa"/>
            <w:vAlign w:val="center"/>
          </w:tcPr>
          <w:p w:rsidR="005B7136" w:rsidRDefault="005B7136" w:rsidP="00FD3BAC">
            <w:pPr>
              <w:spacing w:after="0" w:line="240" w:lineRule="auto"/>
              <w:jc w:val="center"/>
              <w:rPr>
                <w:rFonts w:asciiTheme="minorHAnsi" w:hAnsiTheme="minorHAnsi"/>
              </w:rPr>
            </w:pPr>
            <w:r>
              <w:rPr>
                <w:rFonts w:asciiTheme="minorHAnsi" w:hAnsiTheme="minorHAnsi"/>
              </w:rPr>
              <w:t>5</w:t>
            </w:r>
          </w:p>
        </w:tc>
        <w:tc>
          <w:tcPr>
            <w:tcW w:w="1136" w:type="dxa"/>
            <w:vAlign w:val="center"/>
          </w:tcPr>
          <w:p w:rsidR="005B7136" w:rsidRDefault="005B7136" w:rsidP="00FD3BAC">
            <w:pPr>
              <w:spacing w:after="0" w:line="240" w:lineRule="auto"/>
              <w:rPr>
                <w:rFonts w:asciiTheme="minorHAnsi" w:hAnsiTheme="minorHAnsi"/>
              </w:rPr>
            </w:pPr>
            <w:r>
              <w:rPr>
                <w:rFonts w:asciiTheme="minorHAnsi" w:hAnsiTheme="minorHAnsi"/>
              </w:rPr>
              <w:t>Argon</w:t>
            </w:r>
          </w:p>
        </w:tc>
        <w:tc>
          <w:tcPr>
            <w:tcW w:w="875"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99.9995</w:t>
            </w:r>
          </w:p>
        </w:tc>
        <w:tc>
          <w:tcPr>
            <w:tcW w:w="981"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54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604"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470"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0.2</w:t>
            </w:r>
          </w:p>
        </w:tc>
        <w:tc>
          <w:tcPr>
            <w:tcW w:w="527"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0.5</w:t>
            </w:r>
          </w:p>
        </w:tc>
        <w:tc>
          <w:tcPr>
            <w:tcW w:w="526" w:type="dxa"/>
            <w:vAlign w:val="center"/>
          </w:tcPr>
          <w:p w:rsidR="005B7136" w:rsidRPr="004E6B70" w:rsidRDefault="005B7136" w:rsidP="00FD3BAC">
            <w:pPr>
              <w:spacing w:after="0" w:line="240" w:lineRule="auto"/>
              <w:jc w:val="center"/>
              <w:rPr>
                <w:rFonts w:asciiTheme="minorHAnsi" w:hAnsiTheme="minorHAnsi"/>
                <w:sz w:val="20"/>
              </w:rPr>
            </w:pPr>
            <w:r>
              <w:rPr>
                <w:rFonts w:asciiTheme="minorHAnsi" w:hAnsiTheme="minorHAnsi"/>
                <w:sz w:val="20"/>
              </w:rPr>
              <w:t>2.0</w:t>
            </w:r>
          </w:p>
        </w:tc>
        <w:tc>
          <w:tcPr>
            <w:tcW w:w="1170" w:type="dxa"/>
            <w:vAlign w:val="center"/>
          </w:tcPr>
          <w:p w:rsidR="005B7136" w:rsidRPr="007D76C4" w:rsidRDefault="005B7136" w:rsidP="00FD3BAC">
            <w:pPr>
              <w:spacing w:after="0" w:line="240" w:lineRule="auto"/>
              <w:jc w:val="center"/>
              <w:rPr>
                <w:rFonts w:asciiTheme="minorHAnsi" w:hAnsiTheme="minorHAnsi"/>
              </w:rPr>
            </w:pPr>
            <w:r>
              <w:rPr>
                <w:rFonts w:asciiTheme="minorHAnsi" w:hAnsiTheme="minorHAnsi"/>
              </w:rPr>
              <w:t>4 cylinders</w:t>
            </w:r>
          </w:p>
        </w:tc>
        <w:tc>
          <w:tcPr>
            <w:tcW w:w="704" w:type="dxa"/>
          </w:tcPr>
          <w:p w:rsidR="005B7136" w:rsidRDefault="005B7136" w:rsidP="005B7136">
            <w:pPr>
              <w:spacing w:after="0" w:line="240" w:lineRule="auto"/>
              <w:jc w:val="center"/>
              <w:rPr>
                <w:rFonts w:asciiTheme="minorHAnsi" w:hAnsiTheme="minorHAnsi"/>
              </w:rPr>
            </w:pPr>
          </w:p>
        </w:tc>
        <w:tc>
          <w:tcPr>
            <w:tcW w:w="969" w:type="dxa"/>
          </w:tcPr>
          <w:p w:rsidR="005B7136" w:rsidRDefault="005B7136" w:rsidP="005B7136">
            <w:pPr>
              <w:spacing w:after="0" w:line="240" w:lineRule="auto"/>
              <w:jc w:val="center"/>
              <w:rPr>
                <w:rFonts w:asciiTheme="minorHAnsi" w:hAnsiTheme="minorHAnsi"/>
              </w:rPr>
            </w:pPr>
          </w:p>
        </w:tc>
        <w:tc>
          <w:tcPr>
            <w:tcW w:w="627" w:type="dxa"/>
          </w:tcPr>
          <w:p w:rsidR="005B7136" w:rsidRDefault="005B7136" w:rsidP="005B7136">
            <w:pPr>
              <w:spacing w:after="0" w:line="240" w:lineRule="auto"/>
              <w:jc w:val="center"/>
              <w:rPr>
                <w:rFonts w:asciiTheme="minorHAnsi" w:hAnsiTheme="minorHAnsi"/>
              </w:rPr>
            </w:pPr>
          </w:p>
        </w:tc>
        <w:tc>
          <w:tcPr>
            <w:tcW w:w="959" w:type="dxa"/>
          </w:tcPr>
          <w:p w:rsidR="005B7136" w:rsidRDefault="005B7136" w:rsidP="005B7136">
            <w:pPr>
              <w:spacing w:after="0" w:line="240" w:lineRule="auto"/>
              <w:jc w:val="center"/>
              <w:rPr>
                <w:rFonts w:asciiTheme="minorHAnsi" w:hAnsiTheme="minorHAnsi"/>
              </w:rPr>
            </w:pPr>
          </w:p>
        </w:tc>
      </w:tr>
      <w:tr w:rsidR="001A6D9A" w:rsidRPr="007D76C4" w:rsidTr="007B4626">
        <w:trPr>
          <w:trHeight w:val="70"/>
          <w:jc w:val="center"/>
        </w:trPr>
        <w:tc>
          <w:tcPr>
            <w:tcW w:w="482" w:type="dxa"/>
            <w:vAlign w:val="center"/>
          </w:tcPr>
          <w:p w:rsidR="001A6D9A" w:rsidRDefault="001A6D9A" w:rsidP="00FD3BAC">
            <w:pPr>
              <w:spacing w:after="0" w:line="240" w:lineRule="auto"/>
              <w:jc w:val="center"/>
              <w:rPr>
                <w:rFonts w:asciiTheme="minorHAnsi" w:hAnsiTheme="minorHAnsi"/>
              </w:rPr>
            </w:pPr>
          </w:p>
          <w:p w:rsidR="001A6D9A" w:rsidRDefault="001A6D9A" w:rsidP="00FD3BAC">
            <w:pPr>
              <w:spacing w:after="0" w:line="240" w:lineRule="auto"/>
              <w:jc w:val="center"/>
              <w:rPr>
                <w:rFonts w:asciiTheme="minorHAnsi" w:hAnsiTheme="minorHAnsi"/>
              </w:rPr>
            </w:pPr>
            <w:r>
              <w:rPr>
                <w:rFonts w:asciiTheme="minorHAnsi" w:hAnsiTheme="minorHAnsi"/>
              </w:rPr>
              <w:t>6</w:t>
            </w:r>
          </w:p>
          <w:p w:rsidR="001A6D9A" w:rsidRDefault="001A6D9A" w:rsidP="00FD3BAC">
            <w:pPr>
              <w:spacing w:after="0" w:line="240" w:lineRule="auto"/>
              <w:jc w:val="center"/>
              <w:rPr>
                <w:rFonts w:asciiTheme="minorHAnsi" w:hAnsiTheme="minorHAnsi"/>
              </w:rPr>
            </w:pPr>
          </w:p>
        </w:tc>
        <w:tc>
          <w:tcPr>
            <w:tcW w:w="7537" w:type="dxa"/>
            <w:gridSpan w:val="10"/>
            <w:vAlign w:val="center"/>
          </w:tcPr>
          <w:p w:rsidR="001A6D9A" w:rsidRPr="001A6D9A" w:rsidRDefault="001A6D9A" w:rsidP="001A6D9A">
            <w:pPr>
              <w:spacing w:after="0" w:line="240" w:lineRule="auto"/>
              <w:rPr>
                <w:rFonts w:asciiTheme="minorHAnsi" w:hAnsiTheme="minorHAnsi"/>
                <w:b/>
                <w:bCs/>
              </w:rPr>
            </w:pPr>
            <w:r w:rsidRPr="001A6D9A">
              <w:rPr>
                <w:rFonts w:asciiTheme="minorHAnsi" w:hAnsiTheme="minorHAnsi"/>
                <w:b/>
                <w:bCs/>
              </w:rPr>
              <w:t>Hiring / Rental charges for Bidder Cylinder per day</w:t>
            </w:r>
          </w:p>
        </w:tc>
        <w:tc>
          <w:tcPr>
            <w:tcW w:w="969" w:type="dxa"/>
          </w:tcPr>
          <w:p w:rsidR="001A6D9A" w:rsidRDefault="001A6D9A" w:rsidP="005B7136">
            <w:pPr>
              <w:spacing w:after="0" w:line="240" w:lineRule="auto"/>
              <w:jc w:val="center"/>
              <w:rPr>
                <w:rFonts w:asciiTheme="minorHAnsi" w:hAnsiTheme="minorHAnsi"/>
              </w:rPr>
            </w:pPr>
          </w:p>
        </w:tc>
        <w:tc>
          <w:tcPr>
            <w:tcW w:w="627" w:type="dxa"/>
          </w:tcPr>
          <w:p w:rsidR="001A6D9A" w:rsidRDefault="001A6D9A" w:rsidP="005B7136">
            <w:pPr>
              <w:spacing w:after="0" w:line="240" w:lineRule="auto"/>
              <w:jc w:val="center"/>
              <w:rPr>
                <w:rFonts w:asciiTheme="minorHAnsi" w:hAnsiTheme="minorHAnsi"/>
              </w:rPr>
            </w:pPr>
          </w:p>
        </w:tc>
        <w:tc>
          <w:tcPr>
            <w:tcW w:w="959" w:type="dxa"/>
          </w:tcPr>
          <w:p w:rsidR="001A6D9A" w:rsidRDefault="001A6D9A" w:rsidP="005B7136">
            <w:pPr>
              <w:spacing w:after="0" w:line="240" w:lineRule="auto"/>
              <w:jc w:val="center"/>
              <w:rPr>
                <w:rFonts w:asciiTheme="minorHAnsi" w:hAnsiTheme="minorHAnsi"/>
              </w:rPr>
            </w:pPr>
          </w:p>
        </w:tc>
      </w:tr>
    </w:tbl>
    <w:p w:rsidR="002F05DE" w:rsidRDefault="002F05DE" w:rsidP="005B7136">
      <w:pPr>
        <w:pStyle w:val="ListParagraph"/>
        <w:suppressAutoHyphens w:val="0"/>
        <w:ind w:left="0"/>
        <w:contextualSpacing/>
        <w:jc w:val="center"/>
        <w:rPr>
          <w:rFonts w:ascii="Times New Roman" w:hAnsi="Times New Roman"/>
          <w:b/>
        </w:rPr>
      </w:pPr>
    </w:p>
    <w:p w:rsidR="00043854" w:rsidRDefault="009C0DED" w:rsidP="005B7136">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043854">
        <w:rPr>
          <w:rFonts w:ascii="Times New Roman" w:hAnsi="Times New Roman"/>
          <w:sz w:val="24"/>
          <w:szCs w:val="24"/>
          <w:u w:val="none"/>
        </w:rPr>
        <w:t xml:space="preserve"> </w:t>
      </w:r>
      <w:r w:rsidR="00043854">
        <w:rPr>
          <w:rFonts w:ascii="Times New Roman" w:hAnsi="Times New Roman"/>
          <w:b w:val="0"/>
          <w:sz w:val="24"/>
          <w:szCs w:val="24"/>
          <w:u w:val="none"/>
        </w:rPr>
        <w:t>1.</w:t>
      </w:r>
      <w:r w:rsidR="00043854">
        <w:rPr>
          <w:rFonts w:ascii="Times New Roman" w:hAnsi="Times New Roman"/>
          <w:b w:val="0"/>
          <w:sz w:val="24"/>
          <w:szCs w:val="24"/>
          <w:u w:val="none"/>
        </w:rPr>
        <w:tab/>
      </w:r>
      <w:r w:rsidR="00A65DD6" w:rsidRPr="00300A21">
        <w:rPr>
          <w:rFonts w:ascii="Times New Roman" w:hAnsi="Times New Roman"/>
          <w:b w:val="0"/>
          <w:sz w:val="24"/>
          <w:szCs w:val="24"/>
          <w:u w:val="none"/>
        </w:rPr>
        <w:t>Items should be delivered and installed at NIPHM.</w:t>
      </w:r>
    </w:p>
    <w:p w:rsidR="00043854"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A65DD6" w:rsidRDefault="00A65DD6" w:rsidP="00043854">
      <w:pPr>
        <w:pStyle w:val="StyleHeading2NotBoldBlackUnderlineCentered"/>
        <w:numPr>
          <w:ilvl w:val="0"/>
          <w:numId w:val="36"/>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9C0DED" w:rsidRPr="00300A21" w:rsidRDefault="009C0DED" w:rsidP="009C0DED">
      <w:pPr>
        <w:pStyle w:val="StyleHeading2NotBoldBlackUnderlineCentered"/>
        <w:numPr>
          <w:ilvl w:val="0"/>
          <w:numId w:val="0"/>
        </w:numPr>
        <w:ind w:left="1962"/>
        <w:jc w:val="left"/>
        <w:rPr>
          <w:rFonts w:ascii="Times New Roman" w:hAnsi="Times New Roman"/>
          <w:b w:val="0"/>
          <w:sz w:val="24"/>
          <w:szCs w:val="24"/>
          <w:u w:val="none"/>
        </w:rPr>
      </w:pPr>
    </w:p>
    <w:p w:rsidR="009C0DED" w:rsidRPr="00300A21" w:rsidRDefault="009C0DED" w:rsidP="009C0DED">
      <w:pPr>
        <w:pStyle w:val="StyleHeading2NotBoldBlackUnderlineCentered"/>
        <w:numPr>
          <w:ilvl w:val="0"/>
          <w:numId w:val="0"/>
        </w:numPr>
        <w:ind w:left="828" w:hanging="18"/>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2F05DE" w:rsidRPr="00300A21" w:rsidRDefault="002F05DE"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7C0019" w:rsidRDefault="007C0019">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I/c.</w:t>
      </w:r>
      <w:r w:rsidRPr="00300A21">
        <w:rPr>
          <w:rFonts w:ascii="Times New Roman" w:hAnsi="Times New Roman" w:cs="Times New Roman"/>
          <w:color w:val="000000"/>
          <w:sz w:val="24"/>
          <w:szCs w:val="24"/>
        </w:rPr>
        <w: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EB2564">
      <w:pPr>
        <w:pStyle w:val="StyleHeading2NotBoldBlackUnderlineCentered"/>
        <w:numPr>
          <w:ilvl w:val="2"/>
          <w:numId w:val="38"/>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977F9">
      <w:footerReference w:type="default" r:id="rId21"/>
      <w:pgSz w:w="11909" w:h="16834" w:code="9"/>
      <w:pgMar w:top="360" w:right="92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AAA" w:rsidRDefault="00F14AAA" w:rsidP="003A7CC6">
      <w:pPr>
        <w:spacing w:after="0" w:line="240" w:lineRule="auto"/>
      </w:pPr>
      <w:r>
        <w:separator/>
      </w:r>
    </w:p>
  </w:endnote>
  <w:endnote w:type="continuationSeparator" w:id="1">
    <w:p w:rsidR="00F14AAA" w:rsidRDefault="00F14AAA"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626" w:rsidRDefault="007B4626">
    <w:pPr>
      <w:pStyle w:val="Footer"/>
      <w:jc w:val="right"/>
    </w:pPr>
    <w:r>
      <w:t xml:space="preserve">              </w:t>
    </w:r>
    <w:r>
      <w:tab/>
    </w:r>
  </w:p>
  <w:p w:rsidR="007B4626" w:rsidRDefault="007B4626" w:rsidP="00AA4A9A">
    <w:pPr>
      <w:pStyle w:val="Footer"/>
      <w:jc w:val="right"/>
    </w:pPr>
    <w:r>
      <w:t xml:space="preserve">(please sign on each page)                                                                                        </w:t>
    </w:r>
    <w:fldSimple w:instr=" PAGE   \* MERGEFORMAT ">
      <w:r w:rsidR="003A7210">
        <w:rPr>
          <w:noProof/>
        </w:rPr>
        <w:t>5</w:t>
      </w:r>
    </w:fldSimple>
  </w:p>
  <w:p w:rsidR="007B4626" w:rsidRDefault="007B4626"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AAA" w:rsidRDefault="00F14AAA" w:rsidP="003A7CC6">
      <w:pPr>
        <w:spacing w:after="0" w:line="240" w:lineRule="auto"/>
      </w:pPr>
      <w:r>
        <w:separator/>
      </w:r>
    </w:p>
  </w:footnote>
  <w:footnote w:type="continuationSeparator" w:id="1">
    <w:p w:rsidR="00F14AAA" w:rsidRDefault="00F14AAA"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8">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3"/>
  </w:num>
  <w:num w:numId="3">
    <w:abstractNumId w:val="20"/>
  </w:num>
  <w:num w:numId="4">
    <w:abstractNumId w:val="27"/>
  </w:num>
  <w:num w:numId="5">
    <w:abstractNumId w:val="24"/>
  </w:num>
  <w:num w:numId="6">
    <w:abstractNumId w:val="23"/>
  </w:num>
  <w:num w:numId="7">
    <w:abstractNumId w:val="28"/>
  </w:num>
  <w:num w:numId="8">
    <w:abstractNumId w:val="44"/>
  </w:num>
  <w:num w:numId="9">
    <w:abstractNumId w:val="15"/>
  </w:num>
  <w:num w:numId="10">
    <w:abstractNumId w:val="41"/>
  </w:num>
  <w:num w:numId="11">
    <w:abstractNumId w:val="17"/>
  </w:num>
  <w:num w:numId="12">
    <w:abstractNumId w:val="42"/>
  </w:num>
  <w:num w:numId="13">
    <w:abstractNumId w:val="34"/>
  </w:num>
  <w:num w:numId="14">
    <w:abstractNumId w:val="36"/>
  </w:num>
  <w:num w:numId="15">
    <w:abstractNumId w:val="25"/>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0"/>
  </w:num>
  <w:num w:numId="20">
    <w:abstractNumId w:val="37"/>
  </w:num>
  <w:num w:numId="21">
    <w:abstractNumId w:val="38"/>
  </w:num>
  <w:num w:numId="22">
    <w:abstractNumId w:val="10"/>
  </w:num>
  <w:num w:numId="23">
    <w:abstractNumId w:val="9"/>
  </w:num>
  <w:num w:numId="24">
    <w:abstractNumId w:val="19"/>
  </w:num>
  <w:num w:numId="25">
    <w:abstractNumId w:val="18"/>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5"/>
  </w:num>
  <w:num w:numId="35">
    <w:abstractNumId w:val="2"/>
  </w:num>
  <w:num w:numId="36">
    <w:abstractNumId w:val="3"/>
  </w:num>
  <w:num w:numId="37">
    <w:abstractNumId w:val="22"/>
  </w:num>
  <w:num w:numId="38">
    <w:abstractNumId w:val="13"/>
  </w:num>
  <w:num w:numId="39">
    <w:abstractNumId w:val="32"/>
  </w:num>
  <w:num w:numId="40">
    <w:abstractNumId w:val="33"/>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9"/>
  </w:num>
  <w:num w:numId="45">
    <w:abstractNumId w:val="31"/>
  </w:num>
  <w:num w:numId="46">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246D7"/>
    <w:rsid w:val="000018A8"/>
    <w:rsid w:val="00005EAC"/>
    <w:rsid w:val="00007E80"/>
    <w:rsid w:val="000134CB"/>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34D4"/>
    <w:rsid w:val="00164BFC"/>
    <w:rsid w:val="00174505"/>
    <w:rsid w:val="001809E1"/>
    <w:rsid w:val="00181579"/>
    <w:rsid w:val="00191852"/>
    <w:rsid w:val="001A5E65"/>
    <w:rsid w:val="001A6D9A"/>
    <w:rsid w:val="001B09CB"/>
    <w:rsid w:val="001B275F"/>
    <w:rsid w:val="001B3C81"/>
    <w:rsid w:val="001B543E"/>
    <w:rsid w:val="001B6464"/>
    <w:rsid w:val="001C1FC9"/>
    <w:rsid w:val="001C5442"/>
    <w:rsid w:val="001D5FDF"/>
    <w:rsid w:val="001F0243"/>
    <w:rsid w:val="001F0CB6"/>
    <w:rsid w:val="001F33C4"/>
    <w:rsid w:val="001F7A32"/>
    <w:rsid w:val="0020173C"/>
    <w:rsid w:val="00203C6D"/>
    <w:rsid w:val="00211A0C"/>
    <w:rsid w:val="00217D24"/>
    <w:rsid w:val="0022138F"/>
    <w:rsid w:val="0022272E"/>
    <w:rsid w:val="00226AC2"/>
    <w:rsid w:val="00227971"/>
    <w:rsid w:val="00231BCC"/>
    <w:rsid w:val="00232525"/>
    <w:rsid w:val="00233E0F"/>
    <w:rsid w:val="002366EC"/>
    <w:rsid w:val="002409E5"/>
    <w:rsid w:val="00246669"/>
    <w:rsid w:val="00265439"/>
    <w:rsid w:val="002660B5"/>
    <w:rsid w:val="00266A50"/>
    <w:rsid w:val="00266D7D"/>
    <w:rsid w:val="00275F87"/>
    <w:rsid w:val="00281B3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F05DE"/>
    <w:rsid w:val="002F4DFE"/>
    <w:rsid w:val="00300A21"/>
    <w:rsid w:val="00311461"/>
    <w:rsid w:val="003173A1"/>
    <w:rsid w:val="0031755C"/>
    <w:rsid w:val="00323D82"/>
    <w:rsid w:val="00323D83"/>
    <w:rsid w:val="003246D7"/>
    <w:rsid w:val="00330C83"/>
    <w:rsid w:val="00337A97"/>
    <w:rsid w:val="00340DAB"/>
    <w:rsid w:val="00350692"/>
    <w:rsid w:val="003606BF"/>
    <w:rsid w:val="00363518"/>
    <w:rsid w:val="00380680"/>
    <w:rsid w:val="00382A1B"/>
    <w:rsid w:val="00384085"/>
    <w:rsid w:val="00385CA1"/>
    <w:rsid w:val="00394CD3"/>
    <w:rsid w:val="003A0451"/>
    <w:rsid w:val="003A2313"/>
    <w:rsid w:val="003A350E"/>
    <w:rsid w:val="003A531B"/>
    <w:rsid w:val="003A7210"/>
    <w:rsid w:val="003A7CC6"/>
    <w:rsid w:val="003B4AFD"/>
    <w:rsid w:val="003B5526"/>
    <w:rsid w:val="003D70DB"/>
    <w:rsid w:val="003E3FAE"/>
    <w:rsid w:val="003F4D37"/>
    <w:rsid w:val="003F67CA"/>
    <w:rsid w:val="003F7156"/>
    <w:rsid w:val="004007D3"/>
    <w:rsid w:val="00402A87"/>
    <w:rsid w:val="004031DB"/>
    <w:rsid w:val="00403C57"/>
    <w:rsid w:val="004121BC"/>
    <w:rsid w:val="00420609"/>
    <w:rsid w:val="004213EA"/>
    <w:rsid w:val="0042315F"/>
    <w:rsid w:val="00427FE8"/>
    <w:rsid w:val="004357DE"/>
    <w:rsid w:val="00440C65"/>
    <w:rsid w:val="00440F7F"/>
    <w:rsid w:val="00446686"/>
    <w:rsid w:val="004467D1"/>
    <w:rsid w:val="00446C31"/>
    <w:rsid w:val="0045558F"/>
    <w:rsid w:val="00456647"/>
    <w:rsid w:val="00470156"/>
    <w:rsid w:val="00475D8F"/>
    <w:rsid w:val="0047673D"/>
    <w:rsid w:val="00480892"/>
    <w:rsid w:val="004854AD"/>
    <w:rsid w:val="004912C3"/>
    <w:rsid w:val="0049138A"/>
    <w:rsid w:val="004977F9"/>
    <w:rsid w:val="004A3932"/>
    <w:rsid w:val="004B2DFB"/>
    <w:rsid w:val="004B7246"/>
    <w:rsid w:val="004C450F"/>
    <w:rsid w:val="004C6FE0"/>
    <w:rsid w:val="004D020C"/>
    <w:rsid w:val="004D148B"/>
    <w:rsid w:val="004D4801"/>
    <w:rsid w:val="004D7D3B"/>
    <w:rsid w:val="004E004D"/>
    <w:rsid w:val="004E0947"/>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318A"/>
    <w:rsid w:val="005465BD"/>
    <w:rsid w:val="00546AAA"/>
    <w:rsid w:val="00551DDA"/>
    <w:rsid w:val="0055651A"/>
    <w:rsid w:val="00570F92"/>
    <w:rsid w:val="005822EF"/>
    <w:rsid w:val="00583129"/>
    <w:rsid w:val="00592D6E"/>
    <w:rsid w:val="00593AEA"/>
    <w:rsid w:val="005A18DD"/>
    <w:rsid w:val="005A4C04"/>
    <w:rsid w:val="005A5E1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214A"/>
    <w:rsid w:val="0065666A"/>
    <w:rsid w:val="0066637B"/>
    <w:rsid w:val="006703CF"/>
    <w:rsid w:val="00670B3A"/>
    <w:rsid w:val="00671F6B"/>
    <w:rsid w:val="00674710"/>
    <w:rsid w:val="00674D48"/>
    <w:rsid w:val="00676528"/>
    <w:rsid w:val="006808C9"/>
    <w:rsid w:val="00686FF6"/>
    <w:rsid w:val="00693B10"/>
    <w:rsid w:val="00695531"/>
    <w:rsid w:val="006963A8"/>
    <w:rsid w:val="006A1E88"/>
    <w:rsid w:val="006A4163"/>
    <w:rsid w:val="006A6492"/>
    <w:rsid w:val="006B20C4"/>
    <w:rsid w:val="006B74D0"/>
    <w:rsid w:val="006C019A"/>
    <w:rsid w:val="006C64C2"/>
    <w:rsid w:val="006C6584"/>
    <w:rsid w:val="006D7516"/>
    <w:rsid w:val="006E0409"/>
    <w:rsid w:val="006E1B7B"/>
    <w:rsid w:val="006F25A4"/>
    <w:rsid w:val="006F4B04"/>
    <w:rsid w:val="006F563A"/>
    <w:rsid w:val="006F5910"/>
    <w:rsid w:val="006F72BA"/>
    <w:rsid w:val="007033F4"/>
    <w:rsid w:val="00703DBE"/>
    <w:rsid w:val="007079B7"/>
    <w:rsid w:val="00711373"/>
    <w:rsid w:val="0071512C"/>
    <w:rsid w:val="00716DCE"/>
    <w:rsid w:val="00732E89"/>
    <w:rsid w:val="007331B2"/>
    <w:rsid w:val="00740839"/>
    <w:rsid w:val="00741CB1"/>
    <w:rsid w:val="00742A09"/>
    <w:rsid w:val="0074637E"/>
    <w:rsid w:val="00750F3C"/>
    <w:rsid w:val="00755EFB"/>
    <w:rsid w:val="007617C3"/>
    <w:rsid w:val="00764D64"/>
    <w:rsid w:val="007656B9"/>
    <w:rsid w:val="00772A41"/>
    <w:rsid w:val="007738A7"/>
    <w:rsid w:val="007831E2"/>
    <w:rsid w:val="007921B8"/>
    <w:rsid w:val="007937FA"/>
    <w:rsid w:val="007A0C2E"/>
    <w:rsid w:val="007A0F93"/>
    <w:rsid w:val="007A2076"/>
    <w:rsid w:val="007B4626"/>
    <w:rsid w:val="007B5358"/>
    <w:rsid w:val="007B7D76"/>
    <w:rsid w:val="007C0019"/>
    <w:rsid w:val="007C06CE"/>
    <w:rsid w:val="007C6390"/>
    <w:rsid w:val="007D073A"/>
    <w:rsid w:val="007D45C9"/>
    <w:rsid w:val="007D5D1C"/>
    <w:rsid w:val="007E1AE4"/>
    <w:rsid w:val="007E61FB"/>
    <w:rsid w:val="00802462"/>
    <w:rsid w:val="008029AD"/>
    <w:rsid w:val="00804CD1"/>
    <w:rsid w:val="008058AD"/>
    <w:rsid w:val="00812602"/>
    <w:rsid w:val="00814005"/>
    <w:rsid w:val="00815B63"/>
    <w:rsid w:val="008220E2"/>
    <w:rsid w:val="00822BAE"/>
    <w:rsid w:val="00842E4F"/>
    <w:rsid w:val="008472BF"/>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7F2F"/>
    <w:rsid w:val="009243AE"/>
    <w:rsid w:val="00924D7C"/>
    <w:rsid w:val="00927C69"/>
    <w:rsid w:val="0093137C"/>
    <w:rsid w:val="0093407B"/>
    <w:rsid w:val="00940745"/>
    <w:rsid w:val="00942D0D"/>
    <w:rsid w:val="00947A37"/>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5952"/>
    <w:rsid w:val="009F7A9F"/>
    <w:rsid w:val="00A01B10"/>
    <w:rsid w:val="00A038D0"/>
    <w:rsid w:val="00A04612"/>
    <w:rsid w:val="00A05A86"/>
    <w:rsid w:val="00A100DD"/>
    <w:rsid w:val="00A10F94"/>
    <w:rsid w:val="00A11921"/>
    <w:rsid w:val="00A16467"/>
    <w:rsid w:val="00A16553"/>
    <w:rsid w:val="00A175B2"/>
    <w:rsid w:val="00A24CED"/>
    <w:rsid w:val="00A42A01"/>
    <w:rsid w:val="00A43327"/>
    <w:rsid w:val="00A50132"/>
    <w:rsid w:val="00A532C1"/>
    <w:rsid w:val="00A54A83"/>
    <w:rsid w:val="00A5678A"/>
    <w:rsid w:val="00A6379D"/>
    <w:rsid w:val="00A65DD6"/>
    <w:rsid w:val="00A66E7B"/>
    <w:rsid w:val="00A710A8"/>
    <w:rsid w:val="00A75FD0"/>
    <w:rsid w:val="00A77E93"/>
    <w:rsid w:val="00A77F09"/>
    <w:rsid w:val="00A83B9B"/>
    <w:rsid w:val="00AA3819"/>
    <w:rsid w:val="00AA4A9A"/>
    <w:rsid w:val="00AA7A86"/>
    <w:rsid w:val="00AB1A6B"/>
    <w:rsid w:val="00AC3F80"/>
    <w:rsid w:val="00AC4195"/>
    <w:rsid w:val="00AC48C9"/>
    <w:rsid w:val="00AC602B"/>
    <w:rsid w:val="00AC6272"/>
    <w:rsid w:val="00AC7351"/>
    <w:rsid w:val="00AD0811"/>
    <w:rsid w:val="00AD1FDE"/>
    <w:rsid w:val="00AD2669"/>
    <w:rsid w:val="00AD3BF4"/>
    <w:rsid w:val="00AE1B8D"/>
    <w:rsid w:val="00AE299D"/>
    <w:rsid w:val="00AE5F71"/>
    <w:rsid w:val="00AF3892"/>
    <w:rsid w:val="00AF3C5A"/>
    <w:rsid w:val="00AF541D"/>
    <w:rsid w:val="00B016DD"/>
    <w:rsid w:val="00B01DD9"/>
    <w:rsid w:val="00B04F56"/>
    <w:rsid w:val="00B050BC"/>
    <w:rsid w:val="00B07CA7"/>
    <w:rsid w:val="00B07CCA"/>
    <w:rsid w:val="00B108E1"/>
    <w:rsid w:val="00B26E1F"/>
    <w:rsid w:val="00B34C5F"/>
    <w:rsid w:val="00B34CD2"/>
    <w:rsid w:val="00B4181B"/>
    <w:rsid w:val="00B429D3"/>
    <w:rsid w:val="00B432BD"/>
    <w:rsid w:val="00B433E9"/>
    <w:rsid w:val="00B478E1"/>
    <w:rsid w:val="00B56712"/>
    <w:rsid w:val="00B60E31"/>
    <w:rsid w:val="00B73835"/>
    <w:rsid w:val="00B82A2F"/>
    <w:rsid w:val="00B91293"/>
    <w:rsid w:val="00B93AF1"/>
    <w:rsid w:val="00B9459E"/>
    <w:rsid w:val="00BA3930"/>
    <w:rsid w:val="00BA585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140B0"/>
    <w:rsid w:val="00C352AA"/>
    <w:rsid w:val="00C55107"/>
    <w:rsid w:val="00C71B4B"/>
    <w:rsid w:val="00C74643"/>
    <w:rsid w:val="00C81F29"/>
    <w:rsid w:val="00C84CF5"/>
    <w:rsid w:val="00C85D81"/>
    <w:rsid w:val="00C8621D"/>
    <w:rsid w:val="00C92DC3"/>
    <w:rsid w:val="00C96F81"/>
    <w:rsid w:val="00CA04D1"/>
    <w:rsid w:val="00CA3DB6"/>
    <w:rsid w:val="00CA57E7"/>
    <w:rsid w:val="00CA61FD"/>
    <w:rsid w:val="00CB2A92"/>
    <w:rsid w:val="00CB4445"/>
    <w:rsid w:val="00CC2DDB"/>
    <w:rsid w:val="00CD3168"/>
    <w:rsid w:val="00CD48F6"/>
    <w:rsid w:val="00CF20FB"/>
    <w:rsid w:val="00CF2D94"/>
    <w:rsid w:val="00D02C6D"/>
    <w:rsid w:val="00D05DDB"/>
    <w:rsid w:val="00D108ED"/>
    <w:rsid w:val="00D124C3"/>
    <w:rsid w:val="00D203BD"/>
    <w:rsid w:val="00D207BA"/>
    <w:rsid w:val="00D33313"/>
    <w:rsid w:val="00D35448"/>
    <w:rsid w:val="00D401EB"/>
    <w:rsid w:val="00D416B3"/>
    <w:rsid w:val="00D60437"/>
    <w:rsid w:val="00D80C66"/>
    <w:rsid w:val="00D80F2E"/>
    <w:rsid w:val="00D81326"/>
    <w:rsid w:val="00D816E1"/>
    <w:rsid w:val="00D83C1B"/>
    <w:rsid w:val="00D84B5E"/>
    <w:rsid w:val="00D90E9B"/>
    <w:rsid w:val="00DA223E"/>
    <w:rsid w:val="00DA3B0D"/>
    <w:rsid w:val="00DA43DF"/>
    <w:rsid w:val="00DA6AAD"/>
    <w:rsid w:val="00DB25F2"/>
    <w:rsid w:val="00DB4B1C"/>
    <w:rsid w:val="00DB5D0F"/>
    <w:rsid w:val="00DC7B1E"/>
    <w:rsid w:val="00DD0034"/>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64A97"/>
    <w:rsid w:val="00E65546"/>
    <w:rsid w:val="00E72471"/>
    <w:rsid w:val="00E72AA1"/>
    <w:rsid w:val="00E84271"/>
    <w:rsid w:val="00E84E5E"/>
    <w:rsid w:val="00E918AD"/>
    <w:rsid w:val="00E91E3E"/>
    <w:rsid w:val="00E96274"/>
    <w:rsid w:val="00E96627"/>
    <w:rsid w:val="00E96894"/>
    <w:rsid w:val="00E96B94"/>
    <w:rsid w:val="00E9724E"/>
    <w:rsid w:val="00EA1BA1"/>
    <w:rsid w:val="00EA48DE"/>
    <w:rsid w:val="00EA4A14"/>
    <w:rsid w:val="00EB2564"/>
    <w:rsid w:val="00EB7241"/>
    <w:rsid w:val="00EB78C3"/>
    <w:rsid w:val="00EC0E28"/>
    <w:rsid w:val="00EC5433"/>
    <w:rsid w:val="00ED389B"/>
    <w:rsid w:val="00ED5DC0"/>
    <w:rsid w:val="00ED79C3"/>
    <w:rsid w:val="00EE4A77"/>
    <w:rsid w:val="00EF001D"/>
    <w:rsid w:val="00EF1AEF"/>
    <w:rsid w:val="00EF648C"/>
    <w:rsid w:val="00F076F1"/>
    <w:rsid w:val="00F14AAA"/>
    <w:rsid w:val="00F22264"/>
    <w:rsid w:val="00F23E6B"/>
    <w:rsid w:val="00F26F57"/>
    <w:rsid w:val="00F27397"/>
    <w:rsid w:val="00F36D60"/>
    <w:rsid w:val="00F41259"/>
    <w:rsid w:val="00F42394"/>
    <w:rsid w:val="00F43048"/>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F05"/>
    <w:rsid w:val="00FF1D6F"/>
    <w:rsid w:val="00FF78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niphm@nic.in" TargetMode="External"/><Relationship Id="rId18" Type="http://schemas.openxmlformats.org/officeDocument/2006/relationships/hyperlink" Target="mailto:niphm@nic.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phm@nic.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59B7-D93F-41FC-8ED0-651A48F9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16</Pages>
  <Words>4151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27758</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NIPHM</cp:lastModifiedBy>
  <cp:revision>191</cp:revision>
  <cp:lastPrinted>2014-03-03T13:07:00Z</cp:lastPrinted>
  <dcterms:created xsi:type="dcterms:W3CDTF">2014-04-22T09:05:00Z</dcterms:created>
  <dcterms:modified xsi:type="dcterms:W3CDTF">2014-06-18T09:31:00Z</dcterms:modified>
</cp:coreProperties>
</file>