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A90FB1" w:rsidTr="00141DBD">
        <w:trPr>
          <w:trHeight w:val="1080"/>
        </w:trPr>
        <w:tc>
          <w:tcPr>
            <w:tcW w:w="1116" w:type="dxa"/>
            <w:hideMark/>
          </w:tcPr>
          <w:p w:rsidR="00FE2E33" w:rsidRPr="00A90FB1" w:rsidRDefault="00FE2E33" w:rsidP="00141DBD">
            <w:pPr>
              <w:spacing w:after="0" w:line="240" w:lineRule="auto"/>
              <w:rPr>
                <w:rFonts w:ascii="Times New Roman" w:hAnsi="Times New Roman"/>
                <w:sz w:val="18"/>
                <w:szCs w:val="18"/>
              </w:rPr>
            </w:pPr>
            <w:r w:rsidRPr="00A90FB1">
              <w:rPr>
                <w:rFonts w:ascii="Times New Roman" w:hAnsi="Times New Roman"/>
                <w:sz w:val="18"/>
                <w:szCs w:val="18"/>
              </w:rPr>
              <w:t xml:space="preserve">    </w:t>
            </w:r>
            <w:r w:rsidR="00B208FE">
              <w:rPr>
                <w:rFonts w:ascii="Times New Roman" w:hAnsi="Times New Roman"/>
                <w:noProof/>
                <w:sz w:val="18"/>
                <w:szCs w:val="18"/>
                <w:lang w:bidi="hi-IN"/>
              </w:rPr>
              <w:drawing>
                <wp:inline distT="0" distB="0" distL="0" distR="0" wp14:anchorId="7B5510CA" wp14:editId="0972135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0368D5" w:rsidRDefault="00FE2E33" w:rsidP="00141DBD">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FE2E33" w:rsidRPr="000368D5" w:rsidRDefault="00FE2E33" w:rsidP="00141DBD">
            <w:pPr>
              <w:pStyle w:val="Heading1"/>
              <w:tabs>
                <w:tab w:val="clear" w:pos="0"/>
              </w:tabs>
              <w:ind w:left="18"/>
              <w:jc w:val="center"/>
              <w:rPr>
                <w:sz w:val="28"/>
                <w:szCs w:val="28"/>
              </w:rPr>
            </w:pPr>
            <w:r w:rsidRPr="000368D5">
              <w:rPr>
                <w:sz w:val="28"/>
                <w:szCs w:val="28"/>
              </w:rPr>
              <w:t>National Institute of Plant Health Management</w:t>
            </w:r>
          </w:p>
          <w:p w:rsidR="00FE2E33" w:rsidRDefault="00FE2E33" w:rsidP="00141DBD">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FE2E33" w:rsidRDefault="00FE2E33" w:rsidP="00141DBD">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FE2E33" w:rsidRPr="009A6E2E" w:rsidRDefault="00FE2E33" w:rsidP="00141DBD">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386095FD" wp14:editId="6C66D0F7">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141DBD">
        <w:trPr>
          <w:trHeight w:val="766"/>
        </w:trPr>
        <w:tc>
          <w:tcPr>
            <w:tcW w:w="8722"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FE2E33" w:rsidRPr="00A90FB1" w:rsidRDefault="00FE2E33" w:rsidP="00141DBD">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C312C9" w:rsidP="00141DBD">
            <w:pPr>
              <w:spacing w:after="0" w:line="240" w:lineRule="auto"/>
              <w:ind w:right="-18"/>
              <w:jc w:val="center"/>
              <w:outlineLvl w:val="0"/>
              <w:rPr>
                <w:rFonts w:ascii="Times New Roman" w:hAnsi="Times New Roman"/>
                <w:sz w:val="18"/>
                <w:szCs w:val="18"/>
              </w:rPr>
            </w:pPr>
            <w:hyperlink r:id="rId11"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Pr="00FA3B46">
        <w:rPr>
          <w:rFonts w:ascii="Book Antiqua" w:hAnsi="Book Antiqua" w:cs="Calibri"/>
          <w:bCs/>
          <w:color w:val="000000"/>
          <w:szCs w:val="20"/>
        </w:rPr>
        <w:t>16/</w:t>
      </w:r>
      <w:r w:rsidR="00660E27">
        <w:rPr>
          <w:rFonts w:ascii="Book Antiqua" w:hAnsi="Book Antiqua" w:cs="Calibri"/>
          <w:bCs/>
          <w:color w:val="000000"/>
          <w:szCs w:val="20"/>
        </w:rPr>
        <w:t>111</w:t>
      </w:r>
      <w:r w:rsidR="006E53AC">
        <w:rPr>
          <w:rFonts w:ascii="Book Antiqua" w:hAnsi="Book Antiqua" w:cs="Calibri"/>
          <w:bCs/>
          <w:color w:val="000000"/>
          <w:szCs w:val="20"/>
        </w:rPr>
        <w:t>/</w:t>
      </w:r>
      <w:r w:rsidR="00660E27">
        <w:rPr>
          <w:rFonts w:ascii="Book Antiqua" w:hAnsi="Book Antiqua" w:cs="Calibri"/>
          <w:bCs/>
          <w:color w:val="000000"/>
          <w:szCs w:val="20"/>
        </w:rPr>
        <w:t>Proc. CRM</w:t>
      </w:r>
      <w:r w:rsidR="006E53AC">
        <w:rPr>
          <w:rFonts w:ascii="Book Antiqua" w:hAnsi="Book Antiqua" w:cs="Calibri"/>
          <w:bCs/>
          <w:color w:val="000000"/>
          <w:szCs w:val="20"/>
        </w:rPr>
        <w:t>/</w:t>
      </w:r>
      <w:r w:rsidR="00F42394">
        <w:rPr>
          <w:rFonts w:ascii="Book Antiqua" w:hAnsi="Book Antiqua" w:cs="Calibri"/>
          <w:bCs/>
          <w:color w:val="000000"/>
          <w:szCs w:val="20"/>
        </w:rPr>
        <w:t>201</w:t>
      </w:r>
      <w:r w:rsidR="00F3672C">
        <w:rPr>
          <w:rFonts w:ascii="Book Antiqua" w:hAnsi="Book Antiqua" w:cs="Calibri"/>
          <w:bCs/>
          <w:color w:val="000000"/>
          <w:szCs w:val="20"/>
        </w:rPr>
        <w:t>5</w:t>
      </w:r>
      <w:r w:rsidR="00F42394">
        <w:rPr>
          <w:rFonts w:ascii="Book Antiqua" w:hAnsi="Book Antiqua" w:cs="Calibri"/>
          <w:bCs/>
          <w:color w:val="000000"/>
          <w:szCs w:val="20"/>
        </w:rPr>
        <w:t>-1</w:t>
      </w:r>
      <w:r w:rsidR="00F3672C">
        <w:rPr>
          <w:rFonts w:ascii="Book Antiqua" w:hAnsi="Book Antiqua" w:cs="Calibri"/>
          <w:bCs/>
          <w:color w:val="000000"/>
          <w:szCs w:val="20"/>
        </w:rPr>
        <w:t>6</w:t>
      </w:r>
      <w:r w:rsidR="007E1AE4">
        <w:rPr>
          <w:rFonts w:ascii="Book Antiqua" w:hAnsi="Book Antiqua" w:cs="Calibri"/>
          <w:bCs/>
          <w:color w:val="000000"/>
          <w:szCs w:val="20"/>
        </w:rPr>
        <w:t>/</w:t>
      </w:r>
      <w:r w:rsidR="000D2FE9">
        <w:rPr>
          <w:rFonts w:ascii="Book Antiqua" w:hAnsi="Book Antiqua" w:cs="Calibri"/>
          <w:bCs/>
          <w:color w:val="000000"/>
          <w:szCs w:val="20"/>
        </w:rPr>
        <w:t>21</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D724C1">
        <w:rPr>
          <w:rFonts w:ascii="Book Antiqua" w:hAnsi="Book Antiqua" w:cs="Calibri"/>
          <w:bCs/>
          <w:szCs w:val="20"/>
        </w:rPr>
        <w:t>13</w:t>
      </w:r>
      <w:r w:rsidRPr="00FA3B46">
        <w:rPr>
          <w:rFonts w:ascii="Book Antiqua" w:hAnsi="Book Antiqua" w:cs="Calibri"/>
          <w:bCs/>
          <w:szCs w:val="20"/>
        </w:rPr>
        <w:t>-</w:t>
      </w:r>
      <w:r w:rsidR="00B23DD3">
        <w:rPr>
          <w:rFonts w:ascii="Book Antiqua" w:hAnsi="Book Antiqua" w:cs="Calibri"/>
          <w:bCs/>
          <w:szCs w:val="20"/>
        </w:rPr>
        <w:t>01</w:t>
      </w:r>
      <w:r w:rsidRPr="00FA3B46">
        <w:rPr>
          <w:rFonts w:ascii="Book Antiqua" w:hAnsi="Book Antiqua" w:cs="Calibri"/>
          <w:bCs/>
          <w:szCs w:val="20"/>
        </w:rPr>
        <w:t>-201</w:t>
      </w:r>
      <w:r w:rsidR="00D724C1">
        <w:rPr>
          <w:rFonts w:ascii="Book Antiqua" w:hAnsi="Book Antiqua" w:cs="Calibri"/>
          <w:bCs/>
          <w:szCs w:val="20"/>
        </w:rPr>
        <w:t>6</w:t>
      </w:r>
    </w:p>
    <w:p w:rsidR="00D80C66" w:rsidRPr="005B4A56" w:rsidRDefault="00D80C66" w:rsidP="004F119B">
      <w:pPr>
        <w:autoSpaceDE w:val="0"/>
        <w:autoSpaceDN w:val="0"/>
        <w:adjustRightInd w:val="0"/>
        <w:spacing w:after="0" w:line="240" w:lineRule="auto"/>
        <w:rPr>
          <w:rFonts w:ascii="Book Antiqua" w:hAnsi="Book Antiqua"/>
        </w:rPr>
      </w:pPr>
    </w:p>
    <w:p w:rsidR="00F3672C" w:rsidRPr="00E86F44" w:rsidRDefault="000E6DE0" w:rsidP="00F3672C">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00F3672C" w:rsidRPr="00E86F44">
        <w:rPr>
          <w:rFonts w:ascii="Book Antiqua" w:hAnsi="Book Antiqua" w:hint="cs"/>
          <w:bCs/>
          <w:sz w:val="28"/>
          <w:szCs w:val="28"/>
          <w:cs/>
          <w:lang w:bidi="hi-IN"/>
        </w:rPr>
        <w:t xml:space="preserve">निविदा सूचना </w:t>
      </w:r>
    </w:p>
    <w:p w:rsidR="00D80C66" w:rsidRDefault="000E6DE0" w:rsidP="00F3672C">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F3672C" w:rsidRPr="00E86F44">
        <w:rPr>
          <w:rFonts w:ascii="Book Antiqua" w:hAnsi="Book Antiqua"/>
          <w:bCs/>
          <w:sz w:val="28"/>
          <w:szCs w:val="28"/>
        </w:rPr>
        <w:t>TENDER NOTICE</w:t>
      </w:r>
    </w:p>
    <w:p w:rsidR="00D80C66" w:rsidRPr="00800372" w:rsidRDefault="00D80C66" w:rsidP="00E6470B">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r>
      <w:r w:rsidR="00BF4F45" w:rsidRPr="00800372">
        <w:rPr>
          <w:rFonts w:ascii="Book Antiqua" w:hAnsi="Book Antiqua"/>
          <w:sz w:val="24"/>
          <w:szCs w:val="24"/>
        </w:rPr>
        <w:t>Invitation</w:t>
      </w:r>
      <w:r w:rsidR="00D724C1">
        <w:rPr>
          <w:rFonts w:ascii="Book Antiqua" w:hAnsi="Book Antiqua"/>
          <w:sz w:val="24"/>
          <w:szCs w:val="24"/>
        </w:rPr>
        <w:t xml:space="preserve"> of</w:t>
      </w:r>
      <w:r w:rsidR="00BF4F45" w:rsidRPr="00800372">
        <w:rPr>
          <w:rFonts w:ascii="Book Antiqua" w:hAnsi="Book Antiqua"/>
          <w:sz w:val="24"/>
          <w:szCs w:val="24"/>
        </w:rPr>
        <w:t xml:space="preserve"> </w:t>
      </w:r>
      <w:r w:rsidR="00C41441" w:rsidRPr="00C41441">
        <w:rPr>
          <w:rFonts w:ascii="Book Antiqua" w:hAnsi="Book Antiqua"/>
          <w:b/>
          <w:bCs/>
          <w:sz w:val="24"/>
          <w:szCs w:val="24"/>
        </w:rPr>
        <w:t>Online bids through e-procurement system</w:t>
      </w:r>
      <w:r w:rsidR="00BF4F45" w:rsidRPr="00800372">
        <w:rPr>
          <w:rFonts w:ascii="Book Antiqua" w:hAnsi="Book Antiqua"/>
          <w:sz w:val="24"/>
          <w:szCs w:val="24"/>
        </w:rPr>
        <w:t xml:space="preserve"> </w:t>
      </w:r>
      <w:r w:rsidR="004616A2" w:rsidRPr="004616A2">
        <w:rPr>
          <w:rFonts w:ascii="Book Antiqua" w:hAnsi="Book Antiqua"/>
          <w:b/>
          <w:bCs/>
          <w:sz w:val="24"/>
          <w:szCs w:val="24"/>
        </w:rPr>
        <w:t xml:space="preserve">in Two bid </w:t>
      </w:r>
      <w:r w:rsidR="00BF4F45" w:rsidRPr="00800372">
        <w:rPr>
          <w:rFonts w:ascii="Book Antiqua" w:hAnsi="Book Antiqua"/>
          <w:sz w:val="24"/>
          <w:szCs w:val="24"/>
        </w:rPr>
        <w:t xml:space="preserve">for supply of </w:t>
      </w:r>
      <w:r w:rsidR="00660E27" w:rsidRPr="00800372">
        <w:rPr>
          <w:rFonts w:ascii="Book Antiqua" w:hAnsi="Book Antiqua"/>
          <w:b/>
          <w:bCs/>
          <w:sz w:val="24"/>
          <w:szCs w:val="24"/>
        </w:rPr>
        <w:t xml:space="preserve">Certified </w:t>
      </w:r>
      <w:r w:rsidR="00D724C1">
        <w:rPr>
          <w:rFonts w:ascii="Book Antiqua" w:hAnsi="Book Antiqua"/>
          <w:b/>
          <w:bCs/>
          <w:sz w:val="24"/>
          <w:szCs w:val="24"/>
        </w:rPr>
        <w:t xml:space="preserve">Pesticide </w:t>
      </w:r>
      <w:r w:rsidR="00660E27" w:rsidRPr="00800372">
        <w:rPr>
          <w:rFonts w:ascii="Book Antiqua" w:hAnsi="Book Antiqua"/>
          <w:b/>
          <w:bCs/>
          <w:sz w:val="24"/>
          <w:szCs w:val="24"/>
        </w:rPr>
        <w:t xml:space="preserve">Reference </w:t>
      </w:r>
      <w:r w:rsidR="005A214C" w:rsidRPr="00800372">
        <w:rPr>
          <w:rFonts w:ascii="Book Antiqua" w:hAnsi="Book Antiqua"/>
          <w:b/>
          <w:bCs/>
          <w:sz w:val="24"/>
          <w:szCs w:val="24"/>
        </w:rPr>
        <w:t>Material</w:t>
      </w:r>
      <w:r w:rsidR="00660E27" w:rsidRPr="00800372">
        <w:rPr>
          <w:rFonts w:ascii="Book Antiqua" w:hAnsi="Book Antiqua"/>
          <w:sz w:val="24"/>
          <w:szCs w:val="24"/>
        </w:rPr>
        <w:t xml:space="preserve"> </w:t>
      </w:r>
      <w:r w:rsidR="00583129" w:rsidRPr="00800372">
        <w:rPr>
          <w:rFonts w:ascii="Book Antiqua" w:hAnsi="Book Antiqua"/>
          <w:sz w:val="24"/>
          <w:szCs w:val="24"/>
        </w:rPr>
        <w:t xml:space="preserve">for </w:t>
      </w:r>
      <w:r w:rsidR="00BF4F45" w:rsidRPr="00800372">
        <w:rPr>
          <w:rFonts w:ascii="Book Antiqua" w:hAnsi="Book Antiqua"/>
          <w:sz w:val="24"/>
          <w:szCs w:val="24"/>
        </w:rPr>
        <w:t>the year 201</w:t>
      </w:r>
      <w:r w:rsidR="00F3672C" w:rsidRPr="00800372">
        <w:rPr>
          <w:rFonts w:ascii="Book Antiqua" w:hAnsi="Book Antiqua"/>
          <w:sz w:val="24"/>
          <w:szCs w:val="24"/>
        </w:rPr>
        <w:t>5</w:t>
      </w:r>
      <w:r w:rsidR="00BF4F45" w:rsidRPr="00800372">
        <w:rPr>
          <w:rFonts w:ascii="Book Antiqua" w:hAnsi="Book Antiqua"/>
          <w:sz w:val="24"/>
          <w:szCs w:val="24"/>
        </w:rPr>
        <w:t>-1</w:t>
      </w:r>
      <w:r w:rsidR="00F3672C" w:rsidRPr="00800372">
        <w:rPr>
          <w:rFonts w:ascii="Book Antiqua" w:hAnsi="Book Antiqua"/>
          <w:sz w:val="24"/>
          <w:szCs w:val="24"/>
        </w:rPr>
        <w:t>6</w:t>
      </w:r>
      <w:r w:rsidR="004616A2">
        <w:rPr>
          <w:rFonts w:ascii="Book Antiqua" w:hAnsi="Book Antiqua"/>
          <w:sz w:val="24"/>
          <w:szCs w:val="24"/>
        </w:rPr>
        <w:t xml:space="preserve"> </w:t>
      </w:r>
      <w:r w:rsidR="00BF4F45" w:rsidRPr="00800372">
        <w:rPr>
          <w:rFonts w:ascii="Book Antiqua" w:hAnsi="Book Antiqua"/>
          <w:sz w:val="24"/>
          <w:szCs w:val="24"/>
        </w:rPr>
        <w:t>– Reg</w:t>
      </w:r>
      <w:r w:rsidRPr="00800372">
        <w:rPr>
          <w:rFonts w:ascii="Book Antiqua" w:hAnsi="Book Antiqua"/>
          <w:sz w:val="24"/>
          <w:szCs w:val="24"/>
        </w:rPr>
        <w:t>.</w:t>
      </w:r>
    </w:p>
    <w:p w:rsidR="004F119B" w:rsidRPr="00800372" w:rsidRDefault="004F119B" w:rsidP="004F119B">
      <w:pPr>
        <w:autoSpaceDE w:val="0"/>
        <w:autoSpaceDN w:val="0"/>
        <w:adjustRightInd w:val="0"/>
        <w:spacing w:after="0" w:line="240" w:lineRule="auto"/>
        <w:jc w:val="center"/>
        <w:rPr>
          <w:rFonts w:ascii="Book Antiqua" w:hAnsi="Book Antiqua"/>
          <w:sz w:val="24"/>
          <w:szCs w:val="24"/>
        </w:rPr>
      </w:pPr>
    </w:p>
    <w:p w:rsidR="00D80C66" w:rsidRPr="00800372" w:rsidRDefault="00D80C66" w:rsidP="004F119B">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D80C66" w:rsidRPr="00800372" w:rsidRDefault="00D80C66" w:rsidP="004F119B">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D80C66" w:rsidRPr="00800372" w:rsidRDefault="00D80C66" w:rsidP="004F119B">
      <w:pPr>
        <w:spacing w:after="0" w:line="240" w:lineRule="auto"/>
        <w:rPr>
          <w:rFonts w:ascii="Book Antiqua" w:hAnsi="Book Antiqua"/>
          <w:sz w:val="24"/>
          <w:szCs w:val="24"/>
        </w:rPr>
      </w:pPr>
    </w:p>
    <w:p w:rsidR="00E96B94" w:rsidRPr="00800372" w:rsidRDefault="00E96B94" w:rsidP="00800372">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00843B17" w:rsidRPr="00843B17">
        <w:rPr>
          <w:rFonts w:ascii="Book Antiqua" w:hAnsi="Book Antiqua"/>
          <w:sz w:val="24"/>
          <w:szCs w:val="24"/>
        </w:rPr>
        <w:t>an autonomous Institute under Ministry of Agriculture &amp; Farmers Welfare, Govt. of India</w:t>
      </w:r>
      <w:r w:rsidR="00843B17" w:rsidRPr="00800372">
        <w:rPr>
          <w:rFonts w:ascii="Book Antiqua" w:hAnsi="Book Antiqua"/>
          <w:sz w:val="24"/>
          <w:szCs w:val="24"/>
        </w:rPr>
        <w:t xml:space="preserve"> </w:t>
      </w:r>
      <w:r w:rsidRPr="00800372">
        <w:rPr>
          <w:rFonts w:ascii="Book Antiqua" w:hAnsi="Book Antiqua"/>
          <w:sz w:val="24"/>
          <w:szCs w:val="24"/>
        </w:rPr>
        <w:t xml:space="preserve">invites </w:t>
      </w:r>
      <w:r w:rsidRPr="00800372">
        <w:rPr>
          <w:rFonts w:ascii="Book Antiqua" w:hAnsi="Book Antiqua"/>
          <w:b/>
          <w:bCs/>
          <w:sz w:val="24"/>
          <w:szCs w:val="24"/>
        </w:rPr>
        <w:t>‘</w:t>
      </w:r>
      <w:r w:rsidR="00E6470B" w:rsidRPr="00800372">
        <w:rPr>
          <w:rFonts w:ascii="Book Antiqua" w:hAnsi="Book Antiqua"/>
          <w:b/>
          <w:bCs/>
          <w:sz w:val="24"/>
          <w:szCs w:val="24"/>
        </w:rPr>
        <w:t>Online bids through e</w:t>
      </w:r>
      <w:r w:rsidR="00E6470B" w:rsidRPr="00800372">
        <w:rPr>
          <w:rFonts w:ascii="Book Antiqua" w:hAnsi="Book Antiqua"/>
          <w:b/>
          <w:bCs/>
          <w:sz w:val="24"/>
          <w:szCs w:val="24"/>
        </w:rPr>
        <w:noBreakHyphen/>
        <w:t>procurement system (https://eprocure.gov.in/eprocure/)</w:t>
      </w:r>
      <w:r w:rsidRPr="00800372">
        <w:rPr>
          <w:rFonts w:ascii="Book Antiqua" w:hAnsi="Book Antiqua"/>
          <w:b/>
          <w:bCs/>
          <w:sz w:val="24"/>
          <w:szCs w:val="24"/>
        </w:rPr>
        <w:t xml:space="preserve"> for </w:t>
      </w:r>
      <w:r w:rsidR="00583129" w:rsidRPr="00800372">
        <w:rPr>
          <w:rFonts w:ascii="Book Antiqua" w:hAnsi="Book Antiqua"/>
          <w:b/>
          <w:bCs/>
          <w:sz w:val="24"/>
          <w:szCs w:val="24"/>
        </w:rPr>
        <w:t xml:space="preserve">supply of </w:t>
      </w:r>
      <w:r w:rsidR="00660E27" w:rsidRPr="00800372">
        <w:rPr>
          <w:rFonts w:ascii="Book Antiqua" w:hAnsi="Book Antiqua"/>
          <w:b/>
          <w:bCs/>
          <w:sz w:val="24"/>
          <w:szCs w:val="24"/>
        </w:rPr>
        <w:t xml:space="preserve">Certified Reference </w:t>
      </w:r>
      <w:r w:rsidR="00D724C1">
        <w:rPr>
          <w:rFonts w:ascii="Book Antiqua" w:hAnsi="Book Antiqua"/>
          <w:b/>
          <w:bCs/>
          <w:sz w:val="24"/>
          <w:szCs w:val="24"/>
        </w:rPr>
        <w:t xml:space="preserve">(Pesticide Standards) </w:t>
      </w:r>
      <w:r w:rsidR="005A214C" w:rsidRPr="00800372">
        <w:rPr>
          <w:rFonts w:ascii="Book Antiqua" w:hAnsi="Book Antiqua"/>
          <w:b/>
          <w:bCs/>
          <w:sz w:val="24"/>
          <w:szCs w:val="24"/>
        </w:rPr>
        <w:t>Material</w:t>
      </w:r>
      <w:r w:rsidR="00660E27" w:rsidRPr="00800372">
        <w:rPr>
          <w:rFonts w:ascii="Book Antiqua" w:hAnsi="Book Antiqua"/>
          <w:b/>
          <w:bCs/>
          <w:sz w:val="24"/>
          <w:szCs w:val="24"/>
        </w:rPr>
        <w:t xml:space="preserve"> </w:t>
      </w:r>
      <w:r w:rsidR="006E53AC" w:rsidRPr="00800372">
        <w:rPr>
          <w:rFonts w:ascii="Book Antiqua" w:hAnsi="Book Antiqua"/>
          <w:b/>
          <w:bCs/>
          <w:sz w:val="24"/>
          <w:szCs w:val="24"/>
        </w:rPr>
        <w:t>for the year 201</w:t>
      </w:r>
      <w:r w:rsidR="00F3672C" w:rsidRPr="00800372">
        <w:rPr>
          <w:rFonts w:ascii="Book Antiqua" w:hAnsi="Book Antiqua"/>
          <w:b/>
          <w:bCs/>
          <w:sz w:val="24"/>
          <w:szCs w:val="24"/>
        </w:rPr>
        <w:t>5</w:t>
      </w:r>
      <w:r w:rsidR="006E53AC" w:rsidRPr="00800372">
        <w:rPr>
          <w:rFonts w:ascii="Book Antiqua" w:hAnsi="Book Antiqua"/>
          <w:b/>
          <w:bCs/>
          <w:sz w:val="24"/>
          <w:szCs w:val="24"/>
        </w:rPr>
        <w:noBreakHyphen/>
      </w:r>
      <w:r w:rsidR="00583129" w:rsidRPr="00800372">
        <w:rPr>
          <w:rFonts w:ascii="Book Antiqua" w:hAnsi="Book Antiqua"/>
          <w:b/>
          <w:bCs/>
          <w:sz w:val="24"/>
          <w:szCs w:val="24"/>
        </w:rPr>
        <w:t>1</w:t>
      </w:r>
      <w:r w:rsidR="00F3672C" w:rsidRPr="00800372">
        <w:rPr>
          <w:rFonts w:ascii="Book Antiqua" w:hAnsi="Book Antiqua"/>
          <w:b/>
          <w:bCs/>
          <w:sz w:val="24"/>
          <w:szCs w:val="24"/>
        </w:rPr>
        <w:t>6</w:t>
      </w:r>
      <w:r w:rsidRPr="00800372">
        <w:rPr>
          <w:rFonts w:ascii="Book Antiqua" w:hAnsi="Book Antiqua"/>
          <w:sz w:val="24"/>
          <w:szCs w:val="24"/>
        </w:rPr>
        <w:t xml:space="preserve">’ </w:t>
      </w:r>
      <w:r w:rsidR="00E6470B" w:rsidRPr="00800372">
        <w:rPr>
          <w:rFonts w:ascii="Book Antiqua" w:hAnsi="Book Antiqua"/>
          <w:sz w:val="24"/>
          <w:szCs w:val="24"/>
        </w:rPr>
        <w:t xml:space="preserve">in </w:t>
      </w:r>
      <w:r w:rsidR="00C03A70" w:rsidRPr="00800372">
        <w:rPr>
          <w:rFonts w:ascii="Book Antiqua" w:hAnsi="Book Antiqua"/>
          <w:b/>
          <w:bCs/>
          <w:sz w:val="24"/>
          <w:szCs w:val="24"/>
        </w:rPr>
        <w:t xml:space="preserve">‘Two </w:t>
      </w:r>
      <w:r w:rsidR="00E6470B" w:rsidRPr="00800372">
        <w:rPr>
          <w:rFonts w:ascii="Book Antiqua" w:hAnsi="Book Antiqua"/>
          <w:b/>
          <w:bCs/>
          <w:sz w:val="24"/>
          <w:szCs w:val="24"/>
        </w:rPr>
        <w:t>bid</w:t>
      </w:r>
      <w:r w:rsidR="00C03A70" w:rsidRPr="00800372">
        <w:rPr>
          <w:rFonts w:ascii="Book Antiqua" w:hAnsi="Book Antiqua"/>
          <w:b/>
          <w:bCs/>
          <w:sz w:val="24"/>
          <w:szCs w:val="24"/>
        </w:rPr>
        <w:t>’</w:t>
      </w:r>
      <w:r w:rsidR="00C03A70" w:rsidRPr="00800372">
        <w:rPr>
          <w:rFonts w:ascii="Book Antiqua" w:hAnsi="Book Antiqua"/>
          <w:sz w:val="24"/>
          <w:szCs w:val="24"/>
        </w:rPr>
        <w:t xml:space="preserve"> </w:t>
      </w:r>
      <w:r w:rsidR="00E6470B" w:rsidRPr="00800372">
        <w:rPr>
          <w:rFonts w:ascii="Book Antiqua" w:hAnsi="Book Antiqua"/>
          <w:sz w:val="24"/>
          <w:szCs w:val="24"/>
        </w:rPr>
        <w:t xml:space="preserve">system </w:t>
      </w:r>
      <w:r w:rsidRPr="00800372">
        <w:rPr>
          <w:rFonts w:ascii="Book Antiqua" w:hAnsi="Book Antiqua"/>
          <w:sz w:val="24"/>
          <w:szCs w:val="24"/>
        </w:rPr>
        <w:t xml:space="preserve">from the reputed manufacturers/authorized distributors/dealers.  The list of items &amp; </w:t>
      </w:r>
      <w:r w:rsidR="00452FD1" w:rsidRPr="00800372">
        <w:rPr>
          <w:rFonts w:ascii="Book Antiqua" w:hAnsi="Book Antiqua"/>
          <w:sz w:val="24"/>
          <w:szCs w:val="24"/>
        </w:rPr>
        <w:t xml:space="preserve">tentative </w:t>
      </w:r>
      <w:r w:rsidRPr="00800372">
        <w:rPr>
          <w:rFonts w:ascii="Book Antiqua" w:hAnsi="Book Antiqua"/>
          <w:sz w:val="24"/>
          <w:szCs w:val="24"/>
        </w:rPr>
        <w:t>quantities mentioned in the Annexure-I</w:t>
      </w:r>
      <w:r w:rsidR="00203C6D" w:rsidRPr="00800372">
        <w:rPr>
          <w:rFonts w:ascii="Book Antiqua" w:hAnsi="Book Antiqua"/>
          <w:sz w:val="24"/>
          <w:szCs w:val="24"/>
        </w:rPr>
        <w:t>I</w:t>
      </w:r>
      <w:r w:rsidRPr="00800372">
        <w:rPr>
          <w:rFonts w:ascii="Book Antiqua" w:hAnsi="Book Antiqua"/>
          <w:sz w:val="24"/>
          <w:szCs w:val="24"/>
        </w:rPr>
        <w:t xml:space="preserve"> enclosed.  The quantity of items may increase or decrease at the time of award of purchase order depending on the actual need/requirement of NIPHM to an extent of ±50%.</w:t>
      </w:r>
    </w:p>
    <w:p w:rsidR="00800372" w:rsidRPr="00800372" w:rsidRDefault="00800372" w:rsidP="00800372">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800372" w:rsidRPr="00800372" w:rsidTr="00800372">
        <w:tc>
          <w:tcPr>
            <w:tcW w:w="9608" w:type="dxa"/>
            <w:gridSpan w:val="3"/>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800372" w:rsidRPr="00843B17" w:rsidRDefault="00800372" w:rsidP="00BB69E5">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15:00 hrs on </w:t>
            </w:r>
            <w:r w:rsidR="00BB69E5">
              <w:rPr>
                <w:rFonts w:ascii="Book Antiqua" w:hAnsi="Book Antiqua"/>
                <w:b/>
                <w:bCs/>
                <w:sz w:val="24"/>
                <w:szCs w:val="24"/>
              </w:rPr>
              <w:t>18</w:t>
            </w:r>
            <w:r w:rsidRPr="00843B17">
              <w:rPr>
                <w:rFonts w:ascii="Book Antiqua" w:hAnsi="Book Antiqua"/>
                <w:b/>
                <w:bCs/>
                <w:sz w:val="24"/>
                <w:szCs w:val="24"/>
              </w:rPr>
              <w:t>-</w:t>
            </w:r>
            <w:r w:rsidR="00BB69E5">
              <w:rPr>
                <w:rFonts w:ascii="Book Antiqua" w:hAnsi="Book Antiqua"/>
                <w:b/>
                <w:bCs/>
                <w:sz w:val="24"/>
                <w:szCs w:val="24"/>
              </w:rPr>
              <w:t>02</w:t>
            </w:r>
            <w:r w:rsidRPr="00843B17">
              <w:rPr>
                <w:rFonts w:ascii="Book Antiqua" w:hAnsi="Book Antiqua"/>
                <w:b/>
                <w:bCs/>
                <w:sz w:val="24"/>
                <w:szCs w:val="24"/>
              </w:rPr>
              <w:t>-2016</w:t>
            </w:r>
          </w:p>
        </w:tc>
      </w:tr>
      <w:tr w:rsidR="00800372" w:rsidRPr="00800372" w:rsidTr="00800372">
        <w:tc>
          <w:tcPr>
            <w:tcW w:w="515" w:type="dxa"/>
          </w:tcPr>
          <w:p w:rsidR="00800372" w:rsidRPr="00800372" w:rsidRDefault="00800372" w:rsidP="00800372">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800372" w:rsidRPr="00800372" w:rsidRDefault="00800372" w:rsidP="00800372">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800372" w:rsidRPr="00843B17" w:rsidRDefault="00800372" w:rsidP="00BB69E5">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on </w:t>
            </w:r>
            <w:r w:rsidR="00BB69E5">
              <w:rPr>
                <w:rFonts w:ascii="Book Antiqua" w:hAnsi="Book Antiqua"/>
                <w:b/>
                <w:bCs/>
                <w:sz w:val="24"/>
                <w:szCs w:val="24"/>
              </w:rPr>
              <w:t>18</w:t>
            </w:r>
            <w:r w:rsidRPr="00843B17">
              <w:rPr>
                <w:rFonts w:ascii="Book Antiqua" w:hAnsi="Book Antiqua"/>
                <w:b/>
                <w:bCs/>
                <w:sz w:val="24"/>
                <w:szCs w:val="24"/>
              </w:rPr>
              <w:t>-</w:t>
            </w:r>
            <w:r w:rsidR="00BB69E5">
              <w:rPr>
                <w:rFonts w:ascii="Book Antiqua" w:hAnsi="Book Antiqua"/>
                <w:b/>
                <w:bCs/>
                <w:sz w:val="24"/>
                <w:szCs w:val="24"/>
              </w:rPr>
              <w:t>02</w:t>
            </w:r>
            <w:r w:rsidRPr="00843B17">
              <w:rPr>
                <w:rFonts w:ascii="Book Antiqua" w:hAnsi="Book Antiqua"/>
                <w:b/>
                <w:bCs/>
                <w:sz w:val="24"/>
                <w:szCs w:val="24"/>
              </w:rPr>
              <w:t>-2016</w:t>
            </w:r>
          </w:p>
        </w:tc>
      </w:tr>
    </w:tbl>
    <w:p w:rsidR="00800372" w:rsidRPr="00800372" w:rsidRDefault="00800372" w:rsidP="00E96B94">
      <w:pPr>
        <w:spacing w:line="240" w:lineRule="auto"/>
        <w:jc w:val="both"/>
        <w:rPr>
          <w:rFonts w:ascii="Book Antiqua" w:hAnsi="Book Antiqua"/>
          <w:b/>
          <w:bCs/>
          <w:sz w:val="24"/>
          <w:szCs w:val="24"/>
        </w:rPr>
      </w:pPr>
    </w:p>
    <w:p w:rsidR="00E6470B" w:rsidRPr="00800372" w:rsidRDefault="00E6470B" w:rsidP="00E96B94">
      <w:pPr>
        <w:spacing w:line="240" w:lineRule="auto"/>
        <w:jc w:val="both"/>
        <w:rPr>
          <w:rFonts w:ascii="Book Antiqua" w:hAnsi="Book Antiqua"/>
        </w:rPr>
      </w:pPr>
      <w:r w:rsidRPr="00800372">
        <w:rPr>
          <w:rFonts w:ascii="Book Antiqua" w:hAnsi="Book Antiqua"/>
        </w:rPr>
        <w:t>Note: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E6470B" w:rsidRPr="00800372" w:rsidRDefault="00E6470B" w:rsidP="00C26BF3">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00800372" w:rsidRPr="00800372">
          <w:rPr>
            <w:rStyle w:val="Hyperlink"/>
            <w:rFonts w:ascii="Book Antiqua" w:hAnsi="Book Antiqua"/>
          </w:rPr>
          <w:t>niphm@nic.in</w:t>
        </w:r>
      </w:hyperlink>
    </w:p>
    <w:p w:rsidR="00D80C66" w:rsidRPr="003B5526" w:rsidRDefault="00D80C66" w:rsidP="00F3672C">
      <w:pPr>
        <w:tabs>
          <w:tab w:val="left" w:pos="7230"/>
        </w:tabs>
        <w:spacing w:line="240" w:lineRule="auto"/>
        <w:rPr>
          <w:rFonts w:asciiTheme="minorHAnsi" w:hAnsiTheme="minorHAnsi"/>
          <w:b/>
        </w:rPr>
      </w:pPr>
      <w:r w:rsidRPr="003B5526">
        <w:rPr>
          <w:rFonts w:asciiTheme="minorHAnsi" w:hAnsiTheme="minorHAnsi"/>
          <w:b/>
        </w:rPr>
        <w:tab/>
      </w:r>
    </w:p>
    <w:p w:rsidR="000B5380" w:rsidRDefault="000B5380"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Sd/-</w:t>
      </w:r>
      <w:r w:rsidR="009F5F4C">
        <w:rPr>
          <w:rFonts w:asciiTheme="minorHAnsi" w:hAnsiTheme="minorHAnsi" w:cs="Arial"/>
          <w:b/>
          <w:bCs/>
          <w:sz w:val="22"/>
          <w:szCs w:val="22"/>
        </w:rPr>
        <w:t xml:space="preserve"> </w:t>
      </w:r>
    </w:p>
    <w:p w:rsidR="00D80C66" w:rsidRDefault="009F5F4C" w:rsidP="00EA4A14">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r w:rsidR="00F3672C" w:rsidRPr="003B5526">
        <w:rPr>
          <w:rFonts w:asciiTheme="minorHAnsi" w:hAnsiTheme="minorHAnsi" w:cs="Arial"/>
          <w:b/>
          <w:bCs/>
          <w:sz w:val="22"/>
          <w:szCs w:val="22"/>
        </w:rPr>
        <w:t xml:space="preserve">REGISTRAR </w:t>
      </w:r>
      <w:r w:rsidR="00D80C66" w:rsidRPr="003B5526">
        <w:rPr>
          <w:rFonts w:asciiTheme="minorHAnsi" w:hAnsiTheme="minorHAnsi" w:cs="Arial"/>
          <w:b/>
          <w:bCs/>
          <w:sz w:val="22"/>
          <w:szCs w:val="22"/>
        </w:rPr>
        <w:t>I/c.</w:t>
      </w: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4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as per </w:t>
            </w:r>
            <w:r w:rsidR="00D724C1">
              <w:rPr>
                <w:rFonts w:ascii="Times New Roman" w:hAnsi="Times New Roman"/>
                <w:bCs/>
              </w:rPr>
              <w:t xml:space="preserve">Sl. No. 11 for the items listed at </w:t>
            </w:r>
            <w:r w:rsidRPr="00A254B1">
              <w:rPr>
                <w:rFonts w:ascii="Times New Roman" w:hAnsi="Times New Roman"/>
                <w:bCs/>
              </w:rPr>
              <w:t>Annexure – II</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Pr="00FB6BE9"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D52F27" w:rsidRPr="00D52F27" w:rsidRDefault="00D52F27" w:rsidP="00AA4BD1">
      <w:pPr>
        <w:pStyle w:val="ListParagraph"/>
        <w:numPr>
          <w:ilvl w:val="0"/>
          <w:numId w:val="17"/>
        </w:numPr>
        <w:ind w:left="360"/>
        <w:jc w:val="both"/>
        <w:rPr>
          <w:rFonts w:ascii="Times New Roman" w:hAnsi="Times New Roman"/>
        </w:rPr>
      </w:pPr>
      <w:r w:rsidRPr="00EA5BAA">
        <w:rPr>
          <w:rFonts w:ascii="Times New Roman" w:hAnsi="Times New Roman"/>
        </w:rPr>
        <w:t>Tenderer is exempted from Earnest Money Deposit.</w:t>
      </w:r>
    </w:p>
    <w:p w:rsidR="008058AD" w:rsidRPr="00211A0C" w:rsidRDefault="008058AD" w:rsidP="00AA4BD1">
      <w:pPr>
        <w:pStyle w:val="ListParagraph"/>
        <w:numPr>
          <w:ilvl w:val="0"/>
          <w:numId w:val="17"/>
        </w:numPr>
        <w:ind w:left="36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within Hyderabad Jurisdictions.</w:t>
      </w:r>
      <w:r w:rsidRPr="00211A0C">
        <w:rPr>
          <w:rFonts w:ascii="Times New Roman" w:hAnsi="Times New Roman"/>
        </w:rPr>
        <w:t xml:space="preserve"> In case of any dispute, the decision of NIPHM, Hyderabad shall be final and binding.</w:t>
      </w:r>
    </w:p>
    <w:p w:rsidR="008058AD" w:rsidRPr="00260837" w:rsidRDefault="008058AD" w:rsidP="00AA4BD1">
      <w:pPr>
        <w:numPr>
          <w:ilvl w:val="0"/>
          <w:numId w:val="17"/>
        </w:numPr>
        <w:spacing w:after="0" w:line="240" w:lineRule="auto"/>
        <w:ind w:left="360"/>
        <w:jc w:val="both"/>
        <w:rPr>
          <w:rFonts w:ascii="Times New Roman" w:hAnsi="Times New Roman" w:cs="Times New Roman"/>
          <w:sz w:val="24"/>
          <w:szCs w:val="24"/>
        </w:rPr>
      </w:pPr>
      <w:r w:rsidRPr="00260837">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141DB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211A0C"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by letter or by Fax 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Pr="00141DBD">
        <w:rPr>
          <w:rFonts w:ascii="Times New Roman" w:hAnsi="Times New Roman"/>
        </w:rPr>
        <w:t>prior to the last date. NIPHM will respond in writing to any request for clarification in the Tender.</w:t>
      </w:r>
    </w:p>
    <w:p w:rsidR="00E41272" w:rsidRPr="00141DBD"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7" w:history="1">
        <w:r w:rsidR="00D724C1" w:rsidRPr="00D724C1">
          <w:rPr>
            <w:rStyle w:val="Hyperlink"/>
            <w:rFonts w:ascii="Times New Roman" w:hAnsi="Times New Roman"/>
            <w:color w:val="auto"/>
          </w:rPr>
          <w:t>https://eprocure.gov.in/eprocure/</w:t>
        </w:r>
      </w:hyperlink>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8" w:history="1">
        <w:r w:rsidR="001D73D2" w:rsidRPr="00141DBD">
          <w:rPr>
            <w:rStyle w:val="Hyperlink"/>
            <w:rFonts w:ascii="Times New Roman" w:hAnsi="Times New Roman"/>
            <w:color w:val="auto"/>
          </w:rPr>
          <w:t>https://eprocure.gov.in/eprocure/</w:t>
        </w:r>
      </w:hyperlink>
    </w:p>
    <w:p w:rsidR="00FB6BE9"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19" w:history="1">
        <w:r w:rsidR="001D73D2" w:rsidRPr="00141DBD">
          <w:rPr>
            <w:rStyle w:val="Hyperlink"/>
            <w:rFonts w:ascii="Times New Roman" w:hAnsi="Times New Roman"/>
            <w:color w:val="auto"/>
          </w:rPr>
          <w:t>https://eprocure.gov.in/eprocure/</w:t>
        </w:r>
      </w:hyperlink>
    </w:p>
    <w:p w:rsidR="00E41272" w:rsidRPr="00141DBD"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1"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 xml:space="preserve">s’ failure to update the bid documents based on changes announced through the website. </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 xml:space="preserve">The agency shall not transfer or assign sub-contract to any other party.  </w:t>
      </w:r>
    </w:p>
    <w:p w:rsidR="00674710"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3B4AFD" w:rsidRPr="00060852" w:rsidRDefault="000D4D43" w:rsidP="00C26BF3">
      <w:pPr>
        <w:pStyle w:val="ListParagraph"/>
        <w:numPr>
          <w:ilvl w:val="0"/>
          <w:numId w:val="9"/>
        </w:numPr>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0D4D43" w:rsidRPr="0015493F" w:rsidRDefault="000D4D43" w:rsidP="000D4D43">
      <w:pPr>
        <w:spacing w:after="0" w:line="240" w:lineRule="auto"/>
        <w:ind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Pr>
          <w:rFonts w:ascii="Mangal" w:hAnsi="Mangal" w:hint="cs"/>
          <w:sz w:val="20"/>
          <w:szCs w:val="20"/>
          <w:cs/>
          <w:lang w:bidi="hi-IN"/>
        </w:rPr>
        <w:t xml:space="preserve"> खंड-</w:t>
      </w:r>
      <w:r w:rsidR="00832203">
        <w:rPr>
          <w:rFonts w:ascii="Mangal" w:hAnsi="Mangal"/>
          <w:sz w:val="20"/>
          <w:szCs w:val="20"/>
          <w:lang w:bidi="hi-IN"/>
        </w:rPr>
        <w:t>I</w:t>
      </w:r>
      <w:r w:rsidR="00832203">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FA4CBC" w:rsidTr="00EC7915">
        <w:trPr>
          <w:trHeight w:val="582"/>
        </w:trPr>
        <w:tc>
          <w:tcPr>
            <w:tcW w:w="558" w:type="dxa"/>
            <w:vAlign w:val="center"/>
          </w:tcPr>
          <w:p w:rsidR="00612302" w:rsidRPr="00FA4CBC" w:rsidRDefault="00612302" w:rsidP="00EC7915">
            <w:pPr>
              <w:tabs>
                <w:tab w:val="left" w:pos="-14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5222" w:type="dxa"/>
            <w:vAlign w:val="center"/>
          </w:tcPr>
          <w:p w:rsidR="00612302" w:rsidRPr="00FA4CBC" w:rsidRDefault="00612302" w:rsidP="00EC7915">
            <w:pPr>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684" w:type="dxa"/>
            <w:vAlign w:val="center"/>
          </w:tcPr>
          <w:p w:rsidR="00612302" w:rsidRPr="00FA4CBC" w:rsidRDefault="00612302" w:rsidP="00EC7915">
            <w:pPr>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r>
      <w:tr w:rsidR="00612302" w:rsidRPr="00FA4CBC" w:rsidTr="00EC7915">
        <w:trPr>
          <w:trHeight w:val="609"/>
        </w:trPr>
        <w:tc>
          <w:tcPr>
            <w:tcW w:w="558" w:type="dxa"/>
            <w:vAlign w:val="center"/>
          </w:tcPr>
          <w:p w:rsidR="00612302"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5222"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0D4D43">
              <w:rPr>
                <w:rFonts w:ascii="Times New Roman" w:hAnsi="Times New Roman" w:cstheme="minorBidi" w:hint="cs"/>
                <w:cs/>
                <w:lang w:bidi="hi-IN"/>
              </w:rPr>
              <w:t xml:space="preserve">बोली लगाने वाला मद का विनिर्माता या प्राधिकृत डीलर/एजेंट होगा।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D4D43">
              <w:rPr>
                <w:rFonts w:ascii="Times New Roman" w:hAnsi="Times New Roman" w:cs="Times New Roman"/>
              </w:rPr>
              <w:t>The Bidder shall be a manufacturer of the  items or an Authorized Dealer/Agent</w:t>
            </w:r>
            <w:r w:rsidRPr="000D4D43">
              <w:rPr>
                <w:rFonts w:ascii="Times New Roman" w:hAnsi="Times New Roman" w:cs="Times New Roman"/>
                <w:b/>
              </w:rPr>
              <w:t xml:space="preserve"> </w:t>
            </w:r>
          </w:p>
        </w:tc>
        <w:tc>
          <w:tcPr>
            <w:tcW w:w="4684"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0D4D43">
              <w:rPr>
                <w:rFonts w:ascii="Times New Roman" w:hAnsi="Times New Roman" w:cstheme="minorBidi" w:hint="cs"/>
                <w:cs/>
                <w:lang w:bidi="hi-IN"/>
              </w:rPr>
              <w:t xml:space="preserve">कंपनी या डीलर का पंजीकरण प्रमाणपत्र/एजेंट प्रमाणपत्र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D4D43">
              <w:rPr>
                <w:rFonts w:ascii="Times New Roman" w:hAnsi="Times New Roman" w:cs="Times New Roman"/>
              </w:rPr>
              <w:t>Registration Certificate of the Company or Dealer/Agent Certificate</w:t>
            </w:r>
          </w:p>
        </w:tc>
      </w:tr>
      <w:tr w:rsidR="00612302" w:rsidRPr="00FA4CBC" w:rsidTr="00EC7915">
        <w:trPr>
          <w:trHeight w:val="1957"/>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5222"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0D4D43">
              <w:rPr>
                <w:rFonts w:ascii="Times New Roman" w:hAnsi="Times New Roman" w:cstheme="minorBidi" w:hint="cs"/>
                <w:cs/>
                <w:lang w:bidi="hi-IN"/>
              </w:rPr>
              <w:t>कंपनी/प्रतिष्‍ठान को ऐसे तरह की मदों की व्‍यवसाय/आपूर्ति करने से संबंधित दिनांक 31-</w:t>
            </w:r>
            <w:r w:rsidR="0086595F">
              <w:rPr>
                <w:rFonts w:ascii="Times New Roman" w:hAnsi="Times New Roman" w:cstheme="minorBidi"/>
                <w:lang w:bidi="hi-IN"/>
              </w:rPr>
              <w:t>12</w:t>
            </w:r>
            <w:r w:rsidRPr="000D4D43">
              <w:rPr>
                <w:rFonts w:ascii="Times New Roman" w:hAnsi="Times New Roman" w:cstheme="minorBidi" w:hint="cs"/>
                <w:cs/>
                <w:lang w:bidi="hi-IN"/>
              </w:rPr>
              <w:t>-201</w:t>
            </w:r>
            <w:r w:rsidRPr="000D4D43">
              <w:rPr>
                <w:rFonts w:ascii="Times New Roman" w:hAnsi="Times New Roman" w:cstheme="minorBidi"/>
                <w:lang w:bidi="hi-IN"/>
              </w:rPr>
              <w:t>5</w:t>
            </w:r>
            <w:r w:rsidRPr="000D4D43">
              <w:rPr>
                <w:rFonts w:ascii="Times New Roman" w:hAnsi="Times New Roman" w:cstheme="minorBidi" w:hint="cs"/>
                <w:cs/>
                <w:lang w:bidi="hi-IN"/>
              </w:rPr>
              <w:t xml:space="preserve"> तक कम से कम 03 वर्षों का अनुभव होना चाहिए। </w:t>
            </w:r>
          </w:p>
          <w:p w:rsidR="00612302" w:rsidRPr="000D4D43" w:rsidRDefault="00612302" w:rsidP="008659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D4D43">
              <w:rPr>
                <w:rFonts w:ascii="Times New Roman" w:hAnsi="Times New Roman" w:cs="Times New Roman"/>
              </w:rPr>
              <w:t>The firm should have at least 3 year experience in dealing/supplying such items as on 31-</w:t>
            </w:r>
            <w:r w:rsidR="0086595F">
              <w:rPr>
                <w:rFonts w:ascii="Times New Roman" w:hAnsi="Times New Roman" w:cs="Times New Roman"/>
              </w:rPr>
              <w:t>12</w:t>
            </w:r>
            <w:r w:rsidRPr="000D4D43">
              <w:rPr>
                <w:rFonts w:ascii="Times New Roman" w:hAnsi="Times New Roman" w:cs="Times New Roman"/>
              </w:rPr>
              <w:t>-2015</w:t>
            </w:r>
            <w:r w:rsidRPr="000D4D43">
              <w:rPr>
                <w:rFonts w:ascii="Times New Roman" w:hAnsi="Times New Roman" w:cs="Times New Roman"/>
                <w:b/>
              </w:rPr>
              <w:t xml:space="preserve">.  </w:t>
            </w:r>
          </w:p>
        </w:tc>
        <w:tc>
          <w:tcPr>
            <w:tcW w:w="4684"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0D4D43">
              <w:rPr>
                <w:rFonts w:ascii="Times New Roman" w:hAnsi="Times New Roman" w:cstheme="minorBidi" w:hint="cs"/>
                <w:cs/>
                <w:lang w:bidi="hi-IN"/>
              </w:rPr>
              <w:t>ऐसे दस्‍तावेज (कार्य आदेश) प्रमाणित करता हो</w:t>
            </w:r>
            <w:r w:rsidRPr="000D4D43">
              <w:rPr>
                <w:rFonts w:ascii="Times New Roman" w:hAnsi="Times New Roman" w:cstheme="minorBidi" w:hint="cs"/>
                <w:lang w:bidi="hi-IN"/>
              </w:rPr>
              <w:t>,</w:t>
            </w:r>
            <w:r w:rsidRPr="000D4D43">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D4D43">
              <w:rPr>
                <w:rFonts w:ascii="Times New Roman" w:hAnsi="Times New Roman" w:cs="Times New Roman"/>
              </w:rPr>
              <w:t>Documents (work orders) to prove that the company / firm has supplied such items in their business for 3 years.</w:t>
            </w:r>
          </w:p>
        </w:tc>
      </w:tr>
      <w:tr w:rsidR="00612302" w:rsidRPr="00FA4CBC" w:rsidTr="00EC7915">
        <w:trPr>
          <w:trHeight w:val="2479"/>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5222"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lang w:bidi="hi-IN"/>
              </w:rPr>
            </w:pPr>
            <w:r w:rsidRPr="000D4D43">
              <w:rPr>
                <w:rFonts w:ascii="Times New Roman" w:hAnsi="Times New Roman" w:cstheme="minorBidi" w:hint="cs"/>
                <w:spacing w:val="-2"/>
                <w:cs/>
                <w:lang w:bidi="hi-IN"/>
              </w:rPr>
              <w:t>पिछले 03 वर्षो के दौरान कम से कम 01 वर्ष के लिए सकल वार्षिक टर्नओवर रू. 15 लाख का होना चाहिए।</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D4D43">
              <w:rPr>
                <w:rFonts w:ascii="Times New Roman" w:hAnsi="Times New Roman" w:cs="Times New Roman"/>
                <w:spacing w:val="-2"/>
              </w:rPr>
              <w:t>The gross annual turnover should be of Rs. 15.00 lakhs at least for one year during last three years</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D4D43">
              <w:rPr>
                <w:rFonts w:ascii="Mangal" w:hAnsi="Mangal"/>
                <w:spacing w:val="-2"/>
                <w:cs/>
                <w:lang w:bidi="hi-IN"/>
              </w:rPr>
              <w:t>एनआईपीएचएम</w:t>
            </w:r>
            <w:r w:rsidRPr="000D4D43">
              <w:rPr>
                <w:rFonts w:ascii="Mangal" w:hAnsi="Mangal"/>
                <w:spacing w:val="-2"/>
                <w:lang w:bidi="hi-IN"/>
              </w:rPr>
              <w:t xml:space="preserve"> </w:t>
            </w:r>
            <w:r w:rsidRPr="000D4D43">
              <w:rPr>
                <w:rFonts w:ascii="Mangal" w:hAnsi="Mangal"/>
                <w:spacing w:val="-2"/>
                <w:cs/>
                <w:lang w:bidi="hi-IN"/>
              </w:rPr>
              <w:t>/</w:t>
            </w:r>
            <w:r w:rsidRPr="000D4D43">
              <w:rPr>
                <w:rFonts w:ascii="Mangal" w:hAnsi="Mangal"/>
                <w:spacing w:val="-2"/>
                <w:lang w:bidi="hi-IN"/>
              </w:rPr>
              <w:t xml:space="preserve"> </w:t>
            </w:r>
            <w:r w:rsidRPr="000D4D43">
              <w:rPr>
                <w:rFonts w:ascii="Mangal" w:hAnsi="Mangal"/>
                <w:spacing w:val="-2"/>
                <w:cs/>
                <w:lang w:bidi="hi-IN"/>
              </w:rPr>
              <w:t>डीजीएस</w:t>
            </w:r>
            <w:r w:rsidRPr="000D4D43">
              <w:rPr>
                <w:rFonts w:ascii="Mangal" w:hAnsi="Mangal" w:hint="cs"/>
                <w:spacing w:val="-2"/>
                <w:cs/>
                <w:lang w:bidi="hi-IN"/>
              </w:rPr>
              <w:t xml:space="preserve"> एवं डी</w:t>
            </w:r>
            <w:r w:rsidRPr="000D4D43">
              <w:rPr>
                <w:rFonts w:ascii="Mangal" w:hAnsi="Mangal"/>
                <w:spacing w:val="-2"/>
                <w:lang w:bidi="hi-IN"/>
              </w:rPr>
              <w:t xml:space="preserve"> </w:t>
            </w:r>
            <w:r w:rsidRPr="000D4D43">
              <w:rPr>
                <w:rFonts w:ascii="Mangal" w:hAnsi="Mangal" w:hint="cs"/>
                <w:spacing w:val="-2"/>
                <w:cs/>
                <w:lang w:bidi="hi-IN"/>
              </w:rPr>
              <w:t xml:space="preserve">/ क्रीडा-आईसीएआर </w:t>
            </w:r>
            <w:r w:rsidRPr="000D4D43">
              <w:rPr>
                <w:rFonts w:ascii="Mangal" w:hAnsi="Mangal"/>
                <w:spacing w:val="-2"/>
                <w:lang w:bidi="hi-IN"/>
              </w:rPr>
              <w:t xml:space="preserve">/ </w:t>
            </w:r>
            <w:r w:rsidRPr="000D4D43">
              <w:rPr>
                <w:rFonts w:ascii="Mangal" w:hAnsi="Mangal" w:hint="cs"/>
                <w:spacing w:val="-2"/>
                <w:cs/>
                <w:lang w:bidi="hi-IN"/>
              </w:rPr>
              <w:t xml:space="preserve">एनएसआईसी इकाईयों के साथ पंजीकृत आपूर्तिकर्ताओं के लिए टर्नओवर लागू नहीं है।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D4D43">
              <w:rPr>
                <w:rFonts w:ascii="Times New Roman" w:hAnsi="Times New Roman" w:cs="Times New Roman"/>
                <w:spacing w:val="-2"/>
              </w:rPr>
              <w:t xml:space="preserve">Turnover is not applicable to registered suppliers with NIPHM / DGS&amp;D / CRIDA-ICAR / NSIC Units </w:t>
            </w:r>
          </w:p>
        </w:tc>
        <w:tc>
          <w:tcPr>
            <w:tcW w:w="4684"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lang w:bidi="hi-IN"/>
              </w:rPr>
            </w:pPr>
            <w:r w:rsidRPr="000D4D43">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0D4D43">
              <w:rPr>
                <w:rFonts w:ascii="Times New Roman" w:hAnsi="Times New Roman" w:cs="Times New Roman"/>
                <w:spacing w:val="-2"/>
              </w:rPr>
              <w:t xml:space="preserve">Copy of Annual Accounts duly signed / certified by the Chartered accountant. </w:t>
            </w:r>
          </w:p>
        </w:tc>
      </w:tr>
      <w:tr w:rsidR="00612302" w:rsidRPr="00FA4CBC" w:rsidTr="00EC7915">
        <w:trPr>
          <w:trHeight w:val="2040"/>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5222" w:type="dxa"/>
            <w:vAlign w:val="center"/>
          </w:tcPr>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0D4D43">
              <w:rPr>
                <w:rFonts w:ascii="Mangal" w:hAnsi="Mangal"/>
                <w:sz w:val="22"/>
                <w:szCs w:val="22"/>
                <w:cs/>
              </w:rPr>
              <w:t>कंपनी</w:t>
            </w:r>
            <w:r w:rsidRPr="000D4D43">
              <w:rPr>
                <w:rFonts w:ascii="Mangal" w:hAnsi="Mangal" w:hint="cs"/>
                <w:sz w:val="22"/>
                <w:szCs w:val="22"/>
                <w:cs/>
              </w:rPr>
              <w:t xml:space="preserve"> का आयकर निर्धारण कम से कम पिछले 03 वर्षो की अवधि का होना चाहिए।  </w:t>
            </w:r>
          </w:p>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0D4D43">
              <w:rPr>
                <w:rFonts w:ascii="Times New Roman" w:hAnsi="Times New Roman" w:cs="Times New Roman"/>
                <w:sz w:val="22"/>
                <w:szCs w:val="22"/>
                <w:lang w:bidi="ar-SA"/>
              </w:rPr>
              <w:t>The firm should be income tax assessee at least for a period of three years.</w:t>
            </w:r>
          </w:p>
        </w:tc>
        <w:tc>
          <w:tcPr>
            <w:tcW w:w="4684"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0D4D43">
              <w:rPr>
                <w:rFonts w:ascii="Mangal" w:hAnsi="Mangal"/>
                <w:spacing w:val="-2"/>
                <w:cs/>
                <w:lang w:bidi="hi-IN"/>
              </w:rPr>
              <w:t>आयकर</w:t>
            </w:r>
            <w:r w:rsidRPr="000D4D43">
              <w:rPr>
                <w:rFonts w:ascii="Mangal" w:hAnsi="Mangal" w:hint="cs"/>
                <w:spacing w:val="-2"/>
                <w:cs/>
                <w:lang w:bidi="hi-IN"/>
              </w:rPr>
              <w:t xml:space="preserve"> विवरणी की पावती की प्रतियां स्‍व अनुप्रमाणित एवं कंपनी का पैन कार्ड संलग्‍न होना चाहिए।</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D4D43">
              <w:rPr>
                <w:rFonts w:ascii="Times New Roman" w:hAnsi="Times New Roman" w:cs="Times New Roman"/>
                <w:spacing w:val="-2"/>
              </w:rPr>
              <w:t>Self attested copies of the acknowledgments of Income tax returns or PAN Card of the firm should be enclosed.</w:t>
            </w:r>
          </w:p>
        </w:tc>
      </w:tr>
      <w:tr w:rsidR="00612302" w:rsidRPr="00FA4CBC" w:rsidTr="00EC7915">
        <w:trPr>
          <w:trHeight w:val="536"/>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5222" w:type="dxa"/>
            <w:vAlign w:val="center"/>
          </w:tcPr>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0D4D43">
              <w:rPr>
                <w:rFonts w:ascii="Mangal" w:hAnsi="Mangal" w:hint="cs"/>
                <w:sz w:val="22"/>
                <w:szCs w:val="22"/>
                <w:cs/>
              </w:rPr>
              <w:t xml:space="preserve">कंपनी/प्रतिष्‍ठान वैट के तहत् पंजीकृत होना चाहिए। </w:t>
            </w:r>
          </w:p>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0D4D43">
              <w:rPr>
                <w:rFonts w:ascii="Times New Roman" w:hAnsi="Times New Roman" w:cs="Times New Roman"/>
                <w:sz w:val="22"/>
                <w:szCs w:val="22"/>
                <w:lang w:bidi="ar-SA"/>
              </w:rPr>
              <w:t>The firm should be registered under VAT.</w:t>
            </w:r>
          </w:p>
        </w:tc>
        <w:tc>
          <w:tcPr>
            <w:tcW w:w="4684"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lang w:bidi="hi-IN"/>
              </w:rPr>
            </w:pPr>
            <w:r w:rsidRPr="000D4D43">
              <w:rPr>
                <w:rFonts w:ascii="Times New Roman" w:hAnsi="Times New Roman" w:cstheme="minorBidi" w:hint="cs"/>
                <w:spacing w:val="-2"/>
                <w:cs/>
                <w:lang w:bidi="hi-IN"/>
              </w:rPr>
              <w:t xml:space="preserve">प्रमाणपत्रों की स्‍व अनुप्रमाणित प्रतियां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D4D43">
              <w:rPr>
                <w:rFonts w:ascii="Times New Roman" w:hAnsi="Times New Roman" w:cs="Times New Roman"/>
                <w:spacing w:val="-2"/>
              </w:rPr>
              <w:t>Self attested copy of the certificate.</w:t>
            </w:r>
          </w:p>
        </w:tc>
      </w:tr>
      <w:tr w:rsidR="00612302" w:rsidRPr="00FA4CBC" w:rsidTr="00EC7915">
        <w:trPr>
          <w:trHeight w:val="366"/>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5222" w:type="dxa"/>
            <w:tcBorders>
              <w:bottom w:val="double" w:sz="4" w:space="0" w:color="auto"/>
            </w:tcBorders>
            <w:vAlign w:val="center"/>
          </w:tcPr>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sidRPr="000D4D43">
              <w:rPr>
                <w:rFonts w:ascii="Mangal" w:hAnsi="Mangal" w:hint="cs"/>
                <w:sz w:val="22"/>
                <w:szCs w:val="22"/>
                <w:cs/>
              </w:rPr>
              <w:t>यदि कोई  बोली लगाने वाला विभिन्‍न मदों के लिए एक या अधिक विनिर्माता की ओर से बोली लगाता है</w:t>
            </w:r>
            <w:r w:rsidRPr="000D4D43">
              <w:rPr>
                <w:rFonts w:ascii="Mangal" w:hAnsi="Mangal" w:hint="cs"/>
                <w:sz w:val="22"/>
                <w:szCs w:val="22"/>
              </w:rPr>
              <w:t>,</w:t>
            </w:r>
            <w:r w:rsidRPr="000D4D43">
              <w:rPr>
                <w:rFonts w:ascii="Mangal" w:hAnsi="Mangal" w:hint="cs"/>
                <w:sz w:val="22"/>
                <w:szCs w:val="22"/>
                <w:cs/>
              </w:rPr>
              <w:t xml:space="preserve"> तो उसे उन विनिर्माताओं के प्राधिकृत डीलर/एजेंट होना चाहिए। </w:t>
            </w:r>
          </w:p>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sidRPr="000D4D43">
              <w:rPr>
                <w:rFonts w:ascii="Times New Roman" w:hAnsi="Times New Roman" w:cs="Times New Roman"/>
                <w:sz w:val="22"/>
                <w:szCs w:val="22"/>
                <w:lang w:bidi="ar-SA"/>
              </w:rPr>
              <w:t>In case a bidder bids on behalf of more than one Manufacturer for different items, he should be an Authorized Dealer/Agent for those manufacturers.</w:t>
            </w:r>
          </w:p>
        </w:tc>
        <w:tc>
          <w:tcPr>
            <w:tcW w:w="4684" w:type="dxa"/>
            <w:vAlign w:val="center"/>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lang w:bidi="hi-IN"/>
              </w:rPr>
            </w:pPr>
            <w:r w:rsidRPr="000D4D43">
              <w:rPr>
                <w:rFonts w:ascii="Times New Roman" w:hAnsi="Times New Roman" w:cstheme="minorBidi" w:hint="cs"/>
                <w:spacing w:val="-2"/>
                <w:cs/>
                <w:lang w:bidi="hi-IN"/>
              </w:rPr>
              <w:t xml:space="preserve">प्रत्‍येक विनिर्माता से डीलरशीप/एजेंट प्रमाणपत्र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D4D43">
              <w:rPr>
                <w:rFonts w:ascii="Times New Roman" w:hAnsi="Times New Roman" w:cs="Times New Roman"/>
                <w:spacing w:val="-2"/>
              </w:rPr>
              <w:t>Dealership/Agent Certificate from each manufacturer.</w:t>
            </w:r>
          </w:p>
        </w:tc>
      </w:tr>
      <w:tr w:rsidR="00612302" w:rsidRPr="00FA4CBC" w:rsidTr="00EC7915">
        <w:trPr>
          <w:trHeight w:val="909"/>
        </w:trPr>
        <w:tc>
          <w:tcPr>
            <w:tcW w:w="558" w:type="dxa"/>
            <w:vAlign w:val="center"/>
          </w:tcPr>
          <w:p w:rsidR="00612302" w:rsidRPr="00FA4CBC"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5222" w:type="dxa"/>
          </w:tcPr>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sidRPr="000D4D43">
              <w:rPr>
                <w:rFonts w:ascii="Times New Roman" w:hAnsi="Times New Roman" w:hint="cs"/>
                <w:sz w:val="22"/>
                <w:szCs w:val="22"/>
                <w:cs/>
              </w:rPr>
              <w:t xml:space="preserve">बयाना जमा राशि </w:t>
            </w:r>
          </w:p>
          <w:p w:rsidR="00612302" w:rsidRPr="000D4D43" w:rsidRDefault="00612302" w:rsidP="00EC791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D4D43">
              <w:rPr>
                <w:rFonts w:ascii="Times New Roman" w:hAnsi="Times New Roman" w:cs="Times New Roman"/>
                <w:sz w:val="22"/>
                <w:szCs w:val="22"/>
                <w:lang w:bidi="ar-SA"/>
              </w:rPr>
              <w:t>Earnest Money Deposit</w:t>
            </w:r>
          </w:p>
        </w:tc>
        <w:tc>
          <w:tcPr>
            <w:tcW w:w="4684" w:type="dxa"/>
          </w:tcPr>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lang w:bidi="hi-IN"/>
              </w:rPr>
            </w:pPr>
            <w:r w:rsidRPr="000D4D43">
              <w:rPr>
                <w:rFonts w:ascii="Times New Roman" w:hAnsi="Times New Roman" w:hint="cs"/>
                <w:cs/>
                <w:lang w:bidi="hi-IN"/>
              </w:rPr>
              <w:t xml:space="preserve">बोली लगाने वालों को बयाना जमा राशि से छूट प्राप्‍त है।  </w:t>
            </w:r>
          </w:p>
          <w:p w:rsidR="00612302" w:rsidRPr="000D4D43" w:rsidRDefault="00612302" w:rsidP="00EC791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EC7915">
              <w:rPr>
                <w:rFonts w:ascii="Times New Roman" w:hAnsi="Times New Roman" w:cs="Times New Roman"/>
                <w:sz w:val="20"/>
                <w:szCs w:val="20"/>
              </w:rPr>
              <w:t>Bidders are exempted from Earnest Money Deposit.</w:t>
            </w: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Pr="00DA43DF" w:rsidRDefault="003B4AFD" w:rsidP="00C26BF3">
      <w:pPr>
        <w:pStyle w:val="StyleHeading2NotBoldBlackUnderlineCentered"/>
        <w:numPr>
          <w:ilvl w:val="0"/>
          <w:numId w:val="9"/>
        </w:numPr>
        <w:ind w:left="81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sidR="00624C01">
        <w:rPr>
          <w:rFonts w:ascii="Times New Roman" w:hAnsi="Times New Roman"/>
        </w:rPr>
        <w:t>laid</w:t>
      </w:r>
      <w:r w:rsidRPr="00060852">
        <w:rPr>
          <w:rFonts w:ascii="Times New Roman" w:hAnsi="Times New Roman"/>
        </w:rPr>
        <w:t xml:space="preserve"> down by NIPHM.  The specifications of </w:t>
      </w:r>
      <w:r w:rsidR="00203C6D" w:rsidRPr="00060852">
        <w:rPr>
          <w:rFonts w:ascii="Times New Roman" w:hAnsi="Times New Roman"/>
        </w:rPr>
        <w:t>items shall</w:t>
      </w:r>
      <w:r w:rsidRPr="00060852">
        <w:rPr>
          <w:rFonts w:ascii="Times New Roman" w:hAnsi="Times New Roman"/>
        </w:rPr>
        <w:t xml:space="preserve"> be mentioned in the comparative statement vide Annexure – II.</w:t>
      </w:r>
    </w:p>
    <w:p w:rsidR="00674D48" w:rsidRPr="00674D48"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C26BF3">
      <w:pPr>
        <w:pStyle w:val="ListParagraph"/>
        <w:numPr>
          <w:ilvl w:val="0"/>
          <w:numId w:val="4"/>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Terms of </w:t>
      </w:r>
      <w:r w:rsidR="00EF1AEF" w:rsidRPr="00060852">
        <w:rPr>
          <w:rFonts w:ascii="Times New Roman" w:hAnsi="Times New Roman"/>
          <w:b/>
        </w:rPr>
        <w:t>Supply:</w:t>
      </w:r>
      <w:r w:rsidR="00674D48" w:rsidRPr="00060852">
        <w:rPr>
          <w:rFonts w:ascii="Times New Roman" w:hAnsi="Times New Roman"/>
          <w:b/>
        </w:rPr>
        <w:t xml:space="preserve"> </w:t>
      </w:r>
      <w:r w:rsidRPr="00060852">
        <w:rPr>
          <w:rFonts w:ascii="Times New Roman" w:hAnsi="Times New Roman"/>
        </w:rPr>
        <w:t xml:space="preserve">The firm should supply the items </w:t>
      </w:r>
      <w:r w:rsidRPr="00060852">
        <w:rPr>
          <w:rFonts w:ascii="Times New Roman" w:hAnsi="Times New Roman"/>
          <w:b/>
        </w:rPr>
        <w:t xml:space="preserve">within </w:t>
      </w:r>
      <w:r w:rsidR="00D724C1">
        <w:rPr>
          <w:rFonts w:ascii="Times New Roman" w:hAnsi="Times New Roman"/>
          <w:b/>
        </w:rPr>
        <w:t xml:space="preserve">8-10 weeks </w:t>
      </w:r>
      <w:r w:rsidRPr="00060852">
        <w:rPr>
          <w:rFonts w:ascii="Times New Roman" w:hAnsi="Times New Roman"/>
        </w:rPr>
        <w:t xml:space="preserve">from the date of purchase order.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Price Bid Validity:</w:t>
      </w:r>
      <w:r w:rsidR="00060852" w:rsidRPr="00060852">
        <w:rPr>
          <w:rFonts w:ascii="Times New Roman" w:hAnsi="Times New Roman"/>
          <w:b/>
        </w:rPr>
        <w:t xml:space="preserve"> </w:t>
      </w:r>
      <w:r w:rsidRPr="00060852">
        <w:rPr>
          <w:rFonts w:ascii="Times New Roman" w:hAnsi="Times New Roman"/>
          <w:b/>
        </w:rPr>
        <w:t xml:space="preserve">Bids shall remain valid </w:t>
      </w:r>
      <w:r w:rsidR="00D52F27">
        <w:rPr>
          <w:rFonts w:ascii="Times New Roman" w:hAnsi="Times New Roman"/>
          <w:b/>
        </w:rPr>
        <w:t xml:space="preserve">for </w:t>
      </w:r>
      <w:r w:rsidR="008F2A7B">
        <w:rPr>
          <w:rFonts w:ascii="Times New Roman" w:hAnsi="Times New Roman"/>
          <w:b/>
        </w:rPr>
        <w:t>90</w:t>
      </w:r>
      <w:r w:rsidR="00D52F27">
        <w:rPr>
          <w:rFonts w:ascii="Times New Roman" w:hAnsi="Times New Roman"/>
          <w:b/>
        </w:rPr>
        <w:t xml:space="preserve"> DAYS </w:t>
      </w:r>
      <w:r w:rsidR="00060852">
        <w:rPr>
          <w:rFonts w:ascii="Times New Roman" w:hAnsi="Times New Roman"/>
          <w:b/>
        </w:rPr>
        <w:t xml:space="preserve">from </w:t>
      </w:r>
      <w:r w:rsidRPr="00060852">
        <w:rPr>
          <w:rFonts w:ascii="Times New Roman" w:hAnsi="Times New Roman"/>
          <w:b/>
        </w:rPr>
        <w:t xml:space="preserve">the date </w:t>
      </w:r>
      <w:r w:rsidR="00D52F27">
        <w:rPr>
          <w:rFonts w:ascii="Times New Roman" w:hAnsi="Times New Roman"/>
          <w:b/>
        </w:rPr>
        <w:t xml:space="preserve">of opening of </w:t>
      </w:r>
      <w:r w:rsidRPr="00060852">
        <w:rPr>
          <w:rFonts w:ascii="Times New Roman" w:hAnsi="Times New Roman"/>
          <w:b/>
        </w:rPr>
        <w:t xml:space="preserve">bid. </w:t>
      </w:r>
      <w:r w:rsidRPr="00060852">
        <w:rPr>
          <w:rFonts w:ascii="Times New Roman" w:hAnsi="Times New Roman"/>
        </w:rPr>
        <w:t xml:space="preserve"> However, the purchaser reserves the right to seek consent for an extension of the period of validity.</w:t>
      </w:r>
    </w:p>
    <w:p w:rsidR="00060852" w:rsidRPr="00060852" w:rsidRDefault="00246669" w:rsidP="00C26BF3">
      <w:pPr>
        <w:pStyle w:val="ListParagraph"/>
        <w:numPr>
          <w:ilvl w:val="0"/>
          <w:numId w:val="4"/>
        </w:numPr>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w:t>
      </w:r>
      <w:r w:rsidR="00624C01">
        <w:rPr>
          <w:rFonts w:ascii="Times New Roman" w:hAnsi="Times New Roman"/>
        </w:rPr>
        <w:t xml:space="preserve">in </w:t>
      </w:r>
      <w:r w:rsidR="003B4AFD" w:rsidRPr="00060852">
        <w:rPr>
          <w:rFonts w:ascii="Times New Roman" w:hAnsi="Times New Roman"/>
        </w:rPr>
        <w:t xml:space="preserve">Price Bid </w:t>
      </w:r>
      <w:r w:rsidR="003B4AFD" w:rsidRPr="00060852">
        <w:rPr>
          <w:rFonts w:ascii="Times New Roman" w:hAnsi="Times New Roman"/>
          <w:color w:val="FF0000"/>
        </w:rPr>
        <w:t xml:space="preserve">- </w:t>
      </w:r>
      <w:r w:rsidR="003B4AFD" w:rsidRPr="00060852">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b/>
        </w:rPr>
        <w:t xml:space="preserve">Prices quoted should be </w:t>
      </w:r>
      <w:r w:rsidRPr="00060852">
        <w:rPr>
          <w:rFonts w:ascii="Times New Roman" w:hAnsi="Times New Roman"/>
          <w:b/>
          <w:color w:val="000000"/>
        </w:rPr>
        <w:t xml:space="preserve">for FREE DELIVERY at NIPHM, </w:t>
      </w:r>
      <w:r w:rsidR="00EF1AEF" w:rsidRPr="00060852">
        <w:rPr>
          <w:rFonts w:ascii="Times New Roman" w:hAnsi="Times New Roman"/>
          <w:b/>
          <w:color w:val="000000"/>
        </w:rPr>
        <w:t>Hyd</w:t>
      </w:r>
      <w:r w:rsidR="004F6C05" w:rsidRPr="00060852">
        <w:rPr>
          <w:rFonts w:ascii="Times New Roman" w:hAnsi="Times New Roman"/>
          <w:b/>
          <w:color w:val="000000"/>
        </w:rPr>
        <w:t>erabad</w:t>
      </w:r>
      <w:r w:rsidRPr="00060852">
        <w:rPr>
          <w:rFonts w:ascii="Times New Roman" w:hAnsi="Times New Roman"/>
          <w:b/>
          <w:color w:val="000000"/>
        </w:rPr>
        <w:t>-</w:t>
      </w:r>
      <w:r w:rsidR="004F6C05" w:rsidRPr="00060852">
        <w:rPr>
          <w:rFonts w:ascii="Times New Roman" w:hAnsi="Times New Roman"/>
          <w:b/>
          <w:color w:val="000000"/>
        </w:rPr>
        <w:t>500 0</w:t>
      </w:r>
      <w:r w:rsidRPr="00060852">
        <w:rPr>
          <w:rFonts w:ascii="Times New Roman" w:hAnsi="Times New Roman"/>
          <w:b/>
          <w:color w:val="000000"/>
        </w:rPr>
        <w:t>30.</w:t>
      </w:r>
    </w:p>
    <w:p w:rsidR="00060852"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060852" w:rsidRDefault="003B4AFD" w:rsidP="00C26BF3">
      <w:pPr>
        <w:pStyle w:val="ListParagraph"/>
        <w:numPr>
          <w:ilvl w:val="0"/>
          <w:numId w:val="4"/>
        </w:numPr>
        <w:jc w:val="both"/>
        <w:rPr>
          <w:rFonts w:ascii="Times New Roman" w:hAnsi="Times New Roman"/>
          <w:color w:val="FF0000"/>
        </w:rPr>
      </w:pPr>
      <w:r w:rsidRPr="00060852">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6B74D0" w:rsidRDefault="006B74D0" w:rsidP="006B74D0">
      <w:pPr>
        <w:pStyle w:val="BodyText2"/>
        <w:spacing w:after="0" w:line="240" w:lineRule="auto"/>
        <w:ind w:left="720"/>
        <w:jc w:val="both"/>
        <w:rPr>
          <w:rFonts w:ascii="Times New Roman" w:hAnsi="Times New Roman"/>
          <w:b/>
          <w:color w:val="000000"/>
        </w:rPr>
      </w:pPr>
    </w:p>
    <w:p w:rsidR="003B4AFD" w:rsidRPr="00C02D25" w:rsidRDefault="003B4AFD" w:rsidP="00C02D25">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9F5952" w:rsidRDefault="003B4AFD" w:rsidP="00C26BF3">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C26BF3">
      <w:pPr>
        <w:pStyle w:val="ListParagraph"/>
        <w:numPr>
          <w:ilvl w:val="1"/>
          <w:numId w:val="2"/>
        </w:numPr>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C26BF3">
      <w:pPr>
        <w:pStyle w:val="ListParagraph"/>
        <w:numPr>
          <w:ilvl w:val="1"/>
          <w:numId w:val="2"/>
        </w:numPr>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C26BF3">
      <w:pPr>
        <w:pStyle w:val="ListParagraph"/>
        <w:numPr>
          <w:ilvl w:val="1"/>
          <w:numId w:val="2"/>
        </w:numPr>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C26BF3">
      <w:pPr>
        <w:pStyle w:val="ListParagraph"/>
        <w:numPr>
          <w:ilvl w:val="1"/>
          <w:numId w:val="2"/>
        </w:numPr>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AA4BD1">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AA4BD1" w:rsidRDefault="006F0E50" w:rsidP="00AA4BD1">
      <w:pPr>
        <w:ind w:left="720"/>
        <w:jc w:val="both"/>
        <w:rPr>
          <w:rFonts w:ascii="Times New Roman" w:hAnsi="Times New Roman"/>
        </w:rPr>
      </w:pPr>
      <w:r w:rsidRPr="00AA4BD1">
        <w:rPr>
          <w:rFonts w:ascii="Times New Roman" w:hAnsi="Times New Roman"/>
        </w:rPr>
        <w:t xml:space="preserve">If the firm fails to deliver the goods within the stipulated delivery period as mentioned in the purchase order a penalty of </w:t>
      </w:r>
      <w:r w:rsidR="00441B3A" w:rsidRPr="00AA4BD1">
        <w:rPr>
          <w:rFonts w:ascii="Times New Roman" w:hAnsi="Times New Roman"/>
        </w:rPr>
        <w:t>5</w:t>
      </w:r>
      <w:r w:rsidRPr="00AA4BD1">
        <w:rPr>
          <w:rFonts w:ascii="Times New Roman" w:hAnsi="Times New Roman"/>
        </w:rPr>
        <w:t>% of value of purchase order shall be imposed/levied as liquidated damages.</w:t>
      </w:r>
    </w:p>
    <w:p w:rsidR="003B4AFD" w:rsidRPr="00300A21" w:rsidRDefault="003B4AFD" w:rsidP="003B4AFD">
      <w:pPr>
        <w:pStyle w:val="ListParagraph"/>
        <w:rPr>
          <w:rFonts w:ascii="Times New Roman" w:hAnsi="Times New Roman"/>
          <w:b/>
          <w:color w:val="000000"/>
          <w:u w:val="single"/>
        </w:rPr>
      </w:pPr>
    </w:p>
    <w:p w:rsidR="003B4AFD" w:rsidRPr="00F6673C" w:rsidRDefault="00DA43DF" w:rsidP="00C26BF3">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C26BF3">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943EAE" w:rsidRDefault="00943EAE" w:rsidP="00943EAE">
      <w:pPr>
        <w:pStyle w:val="ListParagraph"/>
        <w:autoSpaceDE w:val="0"/>
        <w:autoSpaceDN w:val="0"/>
        <w:adjustRightInd w:val="0"/>
        <w:contextualSpacing/>
        <w:jc w:val="both"/>
        <w:rPr>
          <w:rFonts w:ascii="Times New Roman" w:hAnsi="Times New Roman" w:cs="Mangal"/>
          <w:lang w:bidi="hi-IN"/>
        </w:rPr>
      </w:pPr>
    </w:p>
    <w:p w:rsidR="00B542E2" w:rsidRPr="003F3154" w:rsidRDefault="00B542E2" w:rsidP="00C26BF3">
      <w:pPr>
        <w:pStyle w:val="ListParagraph"/>
        <w:numPr>
          <w:ilvl w:val="0"/>
          <w:numId w:val="9"/>
        </w:numPr>
        <w:autoSpaceDE w:val="0"/>
        <w:autoSpaceDN w:val="0"/>
        <w:adjustRightInd w:val="0"/>
        <w:contextualSpacing/>
        <w:jc w:val="both"/>
        <w:rPr>
          <w:rFonts w:ascii="Times New Roman" w:hAnsi="Times New Roman" w:cs="Mangal"/>
          <w:b/>
          <w:color w:val="000000"/>
          <w:lang w:bidi="hi-IN"/>
        </w:rPr>
      </w:pPr>
      <w:r w:rsidRPr="003F3154">
        <w:rPr>
          <w:rFonts w:ascii="Times New Roman" w:hAnsi="Times New Roman" w:cs="Mangal"/>
          <w:b/>
          <w:color w:val="000000"/>
          <w:lang w:bidi="hi-IN"/>
        </w:rPr>
        <w:t>TECHNICAL SPECIFICATIONS:</w:t>
      </w:r>
    </w:p>
    <w:p w:rsidR="00B542E2" w:rsidRPr="003F3154" w:rsidRDefault="00B542E2" w:rsidP="00B542E2">
      <w:pPr>
        <w:autoSpaceDE w:val="0"/>
        <w:autoSpaceDN w:val="0"/>
        <w:adjustRightInd w:val="0"/>
        <w:ind w:left="450"/>
        <w:contextualSpacing/>
        <w:jc w:val="both"/>
        <w:rPr>
          <w:rFonts w:ascii="Times New Roman" w:hAnsi="Times New Roman"/>
          <w:sz w:val="24"/>
          <w:szCs w:val="24"/>
          <w:lang w:val="en-GB" w:eastAsia="ar-SA" w:bidi="hi-IN"/>
        </w:rPr>
      </w:pPr>
    </w:p>
    <w:tbl>
      <w:tblPr>
        <w:tblW w:w="8841" w:type="dxa"/>
        <w:jc w:val="center"/>
        <w:tblInd w:w="-4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
        <w:gridCol w:w="6395"/>
        <w:gridCol w:w="1569"/>
      </w:tblGrid>
      <w:tr w:rsidR="00B542E2" w:rsidRPr="003F3154" w:rsidTr="009277E0">
        <w:trPr>
          <w:trHeight w:val="71"/>
          <w:jc w:val="center"/>
        </w:trPr>
        <w:tc>
          <w:tcPr>
            <w:tcW w:w="877"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S.No.</w:t>
            </w:r>
          </w:p>
        </w:tc>
        <w:tc>
          <w:tcPr>
            <w:tcW w:w="6395"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Description</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9277E0" w:rsidRDefault="00B542E2" w:rsidP="009277E0">
            <w:pPr>
              <w:spacing w:line="240" w:lineRule="auto"/>
              <w:jc w:val="center"/>
              <w:rPr>
                <w:rFonts w:ascii="Times New Roman" w:hAnsi="Times New Roman"/>
                <w:b/>
                <w:bCs/>
                <w:sz w:val="24"/>
                <w:szCs w:val="24"/>
                <w:lang w:val="en-GB" w:eastAsia="ar-SA" w:bidi="hi-IN"/>
              </w:rPr>
            </w:pPr>
            <w:r w:rsidRPr="009277E0">
              <w:rPr>
                <w:rFonts w:ascii="Times New Roman" w:hAnsi="Times New Roman"/>
                <w:b/>
                <w:bCs/>
                <w:sz w:val="24"/>
                <w:szCs w:val="24"/>
                <w:lang w:val="en-GB" w:eastAsia="ar-SA" w:bidi="hi-IN"/>
              </w:rPr>
              <w:t>Quantity</w:t>
            </w:r>
          </w:p>
        </w:tc>
      </w:tr>
      <w:tr w:rsidR="00B542E2" w:rsidRPr="003F3154" w:rsidTr="003F3154">
        <w:trPr>
          <w:jc w:val="center"/>
        </w:trPr>
        <w:tc>
          <w:tcPr>
            <w:tcW w:w="877"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1.</w:t>
            </w:r>
          </w:p>
        </w:tc>
        <w:tc>
          <w:tcPr>
            <w:tcW w:w="6395" w:type="dxa"/>
            <w:tcBorders>
              <w:top w:val="single" w:sz="4" w:space="0" w:color="000000"/>
              <w:left w:val="single" w:sz="4" w:space="0" w:color="000000"/>
              <w:bottom w:val="single" w:sz="4" w:space="0" w:color="000000"/>
              <w:right w:val="single" w:sz="4" w:space="0" w:color="000000"/>
            </w:tcBorders>
            <w:hideMark/>
          </w:tcPr>
          <w:p w:rsidR="00B542E2" w:rsidRPr="003F3154" w:rsidRDefault="00B542E2" w:rsidP="003F3154">
            <w:pPr>
              <w:spacing w:line="240" w:lineRule="auto"/>
              <w:rPr>
                <w:rFonts w:ascii="Times New Roman" w:hAnsi="Times New Roman"/>
                <w:sz w:val="24"/>
                <w:szCs w:val="24"/>
                <w:lang w:val="en-GB" w:eastAsia="ar-SA" w:bidi="hi-IN"/>
              </w:rPr>
            </w:pPr>
            <w:r w:rsidRPr="003F3154">
              <w:rPr>
                <w:rFonts w:ascii="Times New Roman" w:hAnsi="Times New Roman"/>
                <w:sz w:val="24"/>
                <w:szCs w:val="24"/>
                <w:lang w:val="en-GB" w:eastAsia="ar-SA" w:bidi="hi-IN"/>
              </w:rPr>
              <w:t xml:space="preserve">Reference </w:t>
            </w:r>
            <w:r w:rsidR="005A214C" w:rsidRPr="003F3154">
              <w:rPr>
                <w:rFonts w:ascii="Times New Roman" w:hAnsi="Times New Roman"/>
                <w:sz w:val="24"/>
                <w:szCs w:val="24"/>
                <w:lang w:val="en-GB" w:eastAsia="ar-SA" w:bidi="hi-IN"/>
              </w:rPr>
              <w:t>Material</w:t>
            </w:r>
            <w:r w:rsidRPr="003F3154">
              <w:rPr>
                <w:rFonts w:ascii="Times New Roman" w:hAnsi="Times New Roman"/>
                <w:sz w:val="24"/>
                <w:szCs w:val="24"/>
                <w:lang w:val="en-GB" w:eastAsia="ar-SA" w:bidi="hi-IN"/>
              </w:rPr>
              <w:t xml:space="preserve"> (Furnished at Annexure-II)</w:t>
            </w:r>
          </w:p>
          <w:p w:rsidR="00B542E2" w:rsidRPr="003F3154" w:rsidRDefault="00B542E2" w:rsidP="003F3154">
            <w:pPr>
              <w:spacing w:line="240" w:lineRule="auto"/>
              <w:rPr>
                <w:rFonts w:ascii="Times New Roman" w:hAnsi="Times New Roman"/>
                <w:sz w:val="24"/>
                <w:szCs w:val="24"/>
                <w:lang w:val="en-GB" w:eastAsia="ar-SA" w:bidi="hi-IN"/>
              </w:rPr>
            </w:pPr>
          </w:p>
          <w:p w:rsidR="00D724C1" w:rsidRDefault="00D724C1" w:rsidP="00C26BF3">
            <w:pPr>
              <w:pStyle w:val="ListParagraph"/>
              <w:numPr>
                <w:ilvl w:val="1"/>
                <w:numId w:val="21"/>
              </w:numPr>
              <w:tabs>
                <w:tab w:val="clear" w:pos="1440"/>
              </w:tabs>
              <w:ind w:left="386"/>
              <w:rPr>
                <w:rFonts w:ascii="Times New Roman" w:hAnsi="Times New Roman" w:cs="Mangal"/>
                <w:lang w:bidi="hi-IN"/>
              </w:rPr>
            </w:pPr>
            <w:r>
              <w:rPr>
                <w:rFonts w:ascii="Times New Roman" w:hAnsi="Times New Roman" w:cs="Mangal"/>
                <w:lang w:bidi="hi-IN"/>
              </w:rPr>
              <w:t>Purity %</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NIST Traceable</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Manufactured by organization having ISO Guide 34:2009</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Supplied with the certificate of analysis from organization /laboratory having ISO17025:2005 accreditation.</w:t>
            </w:r>
          </w:p>
          <w:p w:rsidR="00B542E2" w:rsidRPr="003F3154" w:rsidRDefault="00B542E2" w:rsidP="00C26BF3">
            <w:pPr>
              <w:pStyle w:val="ListParagraph"/>
              <w:numPr>
                <w:ilvl w:val="1"/>
                <w:numId w:val="21"/>
              </w:numPr>
              <w:tabs>
                <w:tab w:val="clear" w:pos="1440"/>
              </w:tabs>
              <w:ind w:left="386"/>
              <w:rPr>
                <w:rFonts w:ascii="Times New Roman" w:hAnsi="Times New Roman" w:cs="Mangal"/>
                <w:lang w:bidi="hi-IN"/>
              </w:rPr>
            </w:pPr>
            <w:r w:rsidRPr="003F3154">
              <w:rPr>
                <w:rFonts w:ascii="Times New Roman" w:hAnsi="Times New Roman" w:cs="Mangal"/>
                <w:lang w:bidi="hi-IN"/>
              </w:rPr>
              <w:t xml:space="preserve">Assurance of Quality of Reference </w:t>
            </w:r>
            <w:r w:rsidR="005A214C" w:rsidRPr="003F3154">
              <w:rPr>
                <w:rFonts w:ascii="Times New Roman" w:hAnsi="Times New Roman" w:cs="Mangal"/>
                <w:lang w:bidi="hi-IN"/>
              </w:rPr>
              <w:t>Material</w:t>
            </w:r>
            <w:r w:rsidRPr="003F3154">
              <w:rPr>
                <w:rFonts w:ascii="Times New Roman" w:hAnsi="Times New Roman" w:cs="Mangal"/>
                <w:lang w:bidi="hi-IN"/>
              </w:rPr>
              <w:t xml:space="preserve"> by providing documented evidence of their internal and external quality assurance programme.</w:t>
            </w:r>
          </w:p>
          <w:p w:rsidR="00B542E2" w:rsidRPr="003F3154" w:rsidRDefault="00B542E2" w:rsidP="003F3154">
            <w:pPr>
              <w:pStyle w:val="ListParagraph"/>
              <w:ind w:left="386"/>
              <w:rPr>
                <w:rFonts w:ascii="Times New Roman" w:hAnsi="Times New Roman" w:cs="Mangal"/>
                <w:lang w:bidi="hi-IN"/>
              </w:rPr>
            </w:pP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As mentioned  in the enclosed</w:t>
            </w:r>
          </w:p>
          <w:p w:rsidR="00B542E2" w:rsidRPr="003F3154" w:rsidRDefault="00B542E2" w:rsidP="003F3154">
            <w:pPr>
              <w:spacing w:line="240" w:lineRule="auto"/>
              <w:jc w:val="center"/>
              <w:rPr>
                <w:rFonts w:ascii="Times New Roman" w:hAnsi="Times New Roman"/>
                <w:sz w:val="24"/>
                <w:szCs w:val="24"/>
                <w:lang w:val="en-GB" w:eastAsia="ar-SA" w:bidi="hi-IN"/>
              </w:rPr>
            </w:pPr>
            <w:r w:rsidRPr="003F3154">
              <w:rPr>
                <w:rFonts w:ascii="Times New Roman" w:hAnsi="Times New Roman"/>
                <w:sz w:val="24"/>
                <w:szCs w:val="24"/>
                <w:lang w:val="en-GB" w:eastAsia="ar-SA" w:bidi="hi-IN"/>
              </w:rPr>
              <w:t>Annexure-II</w:t>
            </w:r>
          </w:p>
        </w:tc>
      </w:tr>
    </w:tbl>
    <w:p w:rsidR="00B542E2" w:rsidRPr="00300A21" w:rsidRDefault="00B542E2" w:rsidP="007331B2">
      <w:pPr>
        <w:pStyle w:val="BodyText2"/>
        <w:spacing w:after="0" w:line="240" w:lineRule="auto"/>
        <w:ind w:left="720"/>
        <w:jc w:val="both"/>
        <w:rPr>
          <w:rFonts w:ascii="Times New Roman" w:hAnsi="Times New Roman"/>
        </w:rPr>
      </w:pP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B542E2">
        <w:rPr>
          <w:rFonts w:ascii="Times New Roman" w:hAnsi="Times New Roman" w:cs="Mangal"/>
          <w:b/>
          <w:color w:val="000000"/>
          <w:lang w:bidi="hi-IN"/>
        </w:rPr>
        <w:t xml:space="preserve">Certified Reference </w:t>
      </w:r>
      <w:r w:rsidR="005A214C">
        <w:rPr>
          <w:rFonts w:ascii="Times New Roman" w:hAnsi="Times New Roman" w:cs="Mangal"/>
          <w:b/>
          <w:color w:val="000000"/>
          <w:lang w:bidi="hi-IN"/>
        </w:rPr>
        <w:t>Material</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D724C1">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31</w:t>
            </w:r>
            <w:r w:rsidR="00D724C1">
              <w:rPr>
                <w:rFonts w:ascii="Times New Roman" w:hAnsi="Times New Roman"/>
                <w:b w:val="0"/>
                <w:sz w:val="24"/>
                <w:szCs w:val="24"/>
                <w:u w:val="none"/>
              </w:rPr>
              <w:t>-12-2015</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9C0DED" w:rsidRPr="003F3154" w:rsidRDefault="00EB2564" w:rsidP="00C26BF3">
      <w:pPr>
        <w:pStyle w:val="ListParagraph"/>
        <w:numPr>
          <w:ilvl w:val="0"/>
          <w:numId w:val="9"/>
        </w:numPr>
        <w:contextualSpacing/>
        <w:rPr>
          <w:rFonts w:ascii="Times New Roman" w:hAnsi="Times New Roman"/>
          <w:b/>
        </w:rPr>
      </w:pPr>
      <w:r w:rsidRPr="00AB5CFF">
        <w:rPr>
          <w:rFonts w:ascii="Times New Roman" w:hAnsi="Times New Roman"/>
        </w:rPr>
        <w:t xml:space="preserve">SCHEDULE FOR REQUIREMENT OF </w:t>
      </w:r>
      <w:r w:rsidR="00B542E2">
        <w:rPr>
          <w:rFonts w:ascii="Times New Roman" w:hAnsi="Times New Roman"/>
          <w:b/>
          <w:bCs/>
        </w:rPr>
        <w:t xml:space="preserve">Certified Reference </w:t>
      </w:r>
      <w:r w:rsidR="005A214C">
        <w:rPr>
          <w:rFonts w:ascii="Times New Roman" w:hAnsi="Times New Roman"/>
          <w:b/>
          <w:bCs/>
        </w:rPr>
        <w:t>Material</w:t>
      </w:r>
      <w:r w:rsidR="009C0DED" w:rsidRPr="00AB5CFF">
        <w:rPr>
          <w:rFonts w:ascii="Times New Roman" w:hAnsi="Times New Roman"/>
        </w:rPr>
        <w:t>:</w:t>
      </w:r>
    </w:p>
    <w:p w:rsidR="003F3154" w:rsidRPr="00AB5CFF" w:rsidRDefault="003F3154" w:rsidP="003F3154">
      <w:pPr>
        <w:pStyle w:val="ListParagraph"/>
        <w:contextualSpacing/>
        <w:rPr>
          <w:rFonts w:ascii="Times New Roman" w:hAnsi="Times New Roman"/>
          <w:b/>
        </w:rPr>
      </w:pPr>
      <w:r>
        <w:rPr>
          <w:rFonts w:ascii="Times New Roman" w:hAnsi="Times New Roman"/>
          <w:b/>
        </w:rPr>
        <w:t xml:space="preserve">(As per specifications mentioned at Sl. No. </w:t>
      </w:r>
      <w:r w:rsidR="00AA4BD1">
        <w:rPr>
          <w:rFonts w:ascii="Times New Roman" w:hAnsi="Times New Roman"/>
          <w:b/>
        </w:rPr>
        <w:t>1</w:t>
      </w:r>
      <w:r w:rsidR="00C02D25">
        <w:rPr>
          <w:rFonts w:ascii="Times New Roman" w:hAnsi="Times New Roman"/>
          <w:b/>
        </w:rPr>
        <w:t>1</w:t>
      </w:r>
      <w:r w:rsidRPr="00EB2564">
        <w:rPr>
          <w:rFonts w:ascii="Times New Roman" w:hAnsi="Times New Roman"/>
          <w:b/>
        </w:rPr>
        <w:t>)</w:t>
      </w:r>
    </w:p>
    <w:p w:rsidR="00673A54" w:rsidRDefault="00673A54" w:rsidP="00673A54">
      <w:pPr>
        <w:spacing w:after="0" w:line="240" w:lineRule="auto"/>
      </w:pPr>
    </w:p>
    <w:tbl>
      <w:tblPr>
        <w:tblStyle w:val="TableGrid"/>
        <w:tblW w:w="9825" w:type="dxa"/>
        <w:jc w:val="center"/>
        <w:tblLook w:val="04A0" w:firstRow="1" w:lastRow="0" w:firstColumn="1" w:lastColumn="0" w:noHBand="0" w:noVBand="1"/>
      </w:tblPr>
      <w:tblGrid>
        <w:gridCol w:w="710"/>
        <w:gridCol w:w="3640"/>
        <w:gridCol w:w="1749"/>
        <w:gridCol w:w="848"/>
        <w:gridCol w:w="853"/>
        <w:gridCol w:w="907"/>
        <w:gridCol w:w="1118"/>
      </w:tblGrid>
      <w:tr w:rsidR="00D724C1" w:rsidRPr="003F0596" w:rsidTr="00314243">
        <w:trPr>
          <w:jc w:val="center"/>
        </w:trPr>
        <w:tc>
          <w:tcPr>
            <w:tcW w:w="710" w:type="dxa"/>
            <w:vAlign w:val="center"/>
          </w:tcPr>
          <w:p w:rsidR="00D724C1" w:rsidRPr="003F0596" w:rsidRDefault="00D724C1" w:rsidP="009360F6">
            <w:pPr>
              <w:spacing w:after="0" w:line="240" w:lineRule="auto"/>
              <w:jc w:val="center"/>
              <w:rPr>
                <w:rFonts w:ascii="Arial Narrow" w:hAnsi="Arial Narrow"/>
                <w:b/>
                <w:sz w:val="21"/>
                <w:szCs w:val="21"/>
              </w:rPr>
            </w:pPr>
            <w:r w:rsidRPr="003F0596">
              <w:rPr>
                <w:rFonts w:ascii="Arial Narrow" w:hAnsi="Arial Narrow"/>
                <w:b/>
                <w:sz w:val="21"/>
                <w:szCs w:val="21"/>
              </w:rPr>
              <w:t>Sl. No</w:t>
            </w:r>
          </w:p>
        </w:tc>
        <w:tc>
          <w:tcPr>
            <w:tcW w:w="3640" w:type="dxa"/>
            <w:vAlign w:val="center"/>
          </w:tcPr>
          <w:p w:rsidR="00D724C1" w:rsidRPr="003F0596" w:rsidRDefault="00D724C1" w:rsidP="009360F6">
            <w:pPr>
              <w:spacing w:after="0" w:line="240" w:lineRule="auto"/>
              <w:jc w:val="center"/>
              <w:rPr>
                <w:rFonts w:ascii="Arial Narrow" w:hAnsi="Arial Narrow"/>
                <w:b/>
                <w:sz w:val="21"/>
                <w:szCs w:val="21"/>
              </w:rPr>
            </w:pPr>
            <w:r w:rsidRPr="003F0596">
              <w:rPr>
                <w:rFonts w:ascii="Arial Narrow" w:hAnsi="Arial Narrow"/>
                <w:b/>
                <w:sz w:val="21"/>
                <w:szCs w:val="21"/>
              </w:rPr>
              <w:t>Name of the CRM</w:t>
            </w:r>
          </w:p>
        </w:tc>
        <w:tc>
          <w:tcPr>
            <w:tcW w:w="1749" w:type="dxa"/>
            <w:vAlign w:val="center"/>
          </w:tcPr>
          <w:p w:rsidR="00D724C1" w:rsidRPr="003F0596" w:rsidRDefault="00D724C1" w:rsidP="009360F6">
            <w:pPr>
              <w:spacing w:after="0" w:line="240" w:lineRule="auto"/>
              <w:jc w:val="center"/>
              <w:rPr>
                <w:rFonts w:ascii="Arial Narrow" w:hAnsi="Arial Narrow"/>
                <w:b/>
                <w:sz w:val="21"/>
                <w:szCs w:val="21"/>
              </w:rPr>
            </w:pPr>
            <w:r w:rsidRPr="003F0596">
              <w:rPr>
                <w:rFonts w:ascii="Arial Narrow" w:hAnsi="Arial Narrow"/>
                <w:b/>
                <w:sz w:val="21"/>
                <w:szCs w:val="21"/>
              </w:rPr>
              <w:t>Required Quantity (mg)</w:t>
            </w:r>
          </w:p>
        </w:tc>
        <w:tc>
          <w:tcPr>
            <w:tcW w:w="848" w:type="dxa"/>
          </w:tcPr>
          <w:p w:rsidR="00D724C1" w:rsidRDefault="00D724C1" w:rsidP="009360F6">
            <w:pPr>
              <w:spacing w:after="0" w:line="240" w:lineRule="auto"/>
              <w:jc w:val="center"/>
              <w:rPr>
                <w:rFonts w:ascii="Arial Narrow" w:hAnsi="Arial Narrow"/>
                <w:b/>
                <w:bCs/>
                <w:sz w:val="21"/>
                <w:szCs w:val="21"/>
                <w:lang w:bidi="hi-IN"/>
              </w:rPr>
            </w:pPr>
            <w:r>
              <w:rPr>
                <w:rFonts w:ascii="Arial Narrow" w:hAnsi="Arial Narrow"/>
                <w:b/>
                <w:bCs/>
                <w:sz w:val="21"/>
                <w:szCs w:val="21"/>
                <w:lang w:bidi="hi-IN"/>
              </w:rPr>
              <w:t xml:space="preserve">Purity </w:t>
            </w:r>
          </w:p>
          <w:p w:rsidR="00D724C1" w:rsidRPr="003F0596" w:rsidRDefault="00D724C1" w:rsidP="009360F6">
            <w:pPr>
              <w:spacing w:after="0" w:line="240" w:lineRule="auto"/>
              <w:jc w:val="center"/>
              <w:rPr>
                <w:rFonts w:ascii="Arial Narrow" w:hAnsi="Arial Narrow"/>
                <w:b/>
                <w:bCs/>
                <w:sz w:val="21"/>
                <w:szCs w:val="21"/>
                <w:lang w:bidi="hi-IN"/>
              </w:rPr>
            </w:pPr>
            <w:r>
              <w:rPr>
                <w:rFonts w:ascii="Arial Narrow" w:hAnsi="Arial Narrow"/>
                <w:b/>
                <w:bCs/>
                <w:sz w:val="21"/>
                <w:szCs w:val="21"/>
                <w:lang w:bidi="hi-IN"/>
              </w:rPr>
              <w:t>%</w:t>
            </w: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Make</w:t>
            </w:r>
          </w:p>
        </w:tc>
        <w:tc>
          <w:tcPr>
            <w:tcW w:w="907" w:type="dxa"/>
          </w:tcPr>
          <w:p w:rsidR="00D724C1" w:rsidRPr="003F0596" w:rsidRDefault="00D724C1" w:rsidP="005A214C">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 xml:space="preserve">Unit </w:t>
            </w:r>
          </w:p>
          <w:p w:rsidR="00D724C1" w:rsidRPr="003F0596" w:rsidRDefault="00D724C1" w:rsidP="005A214C">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Size</w:t>
            </w: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Catalogue No.</w:t>
            </w: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2,4-D esters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3-hydroxy-carbofuran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4- CPA (4 Chlorophenoxy acetic acid)</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4-bromo-2-chlorophenol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4-bromo-2-chloro-phenol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sym w:font="Symbol" w:char="F061"/>
            </w:r>
            <w:r w:rsidRPr="003F0596">
              <w:rPr>
                <w:rFonts w:ascii="Arial Narrow" w:hAnsi="Arial Narrow"/>
                <w:sz w:val="21"/>
                <w:szCs w:val="21"/>
                <w:lang w:bidi="hi-IN"/>
              </w:rPr>
              <w:sym w:font="Symbol" w:char="F02D"/>
            </w:r>
            <w:r w:rsidRPr="003F0596">
              <w:rPr>
                <w:rFonts w:ascii="Arial Narrow" w:hAnsi="Arial Narrow"/>
                <w:sz w:val="21"/>
                <w:szCs w:val="21"/>
                <w:lang w:bidi="hi-IN"/>
              </w:rPr>
              <w:sym w:font="Symbol" w:char="F048"/>
            </w:r>
            <w:r w:rsidRPr="003F0596">
              <w:rPr>
                <w:rFonts w:ascii="Arial Narrow" w:hAnsi="Arial Narrow"/>
                <w:sz w:val="21"/>
                <w:szCs w:val="21"/>
                <w:lang w:bidi="hi-IN"/>
              </w:rPr>
              <w:sym w:font="Symbol" w:char="F043"/>
            </w:r>
            <w:r w:rsidRPr="003F0596">
              <w:rPr>
                <w:rFonts w:ascii="Arial Narrow" w:hAnsi="Arial Narrow"/>
                <w:sz w:val="21"/>
                <w:szCs w:val="21"/>
                <w:lang w:bidi="hi-IN"/>
              </w:rPr>
              <w:sym w:font="Symbol" w:char="F048"/>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Alachlor</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Anilofos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Atrazine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Avermectin B1a</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AvermectinB1b</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Azoxystrobin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Benalaxyl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Benalaxyl M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Beta- cyfluthrin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Bifenthrin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Carbofuran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Chlordane - cis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Chlordane - trans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Chlorpyrofos or (Chlorpyrifos)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Clomazone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Cyantraniliprole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Cyazofamid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Cyfluthrin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Delta-8,9 isomer of avermectin B1a</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DeltaMethrin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Demeton-s -Methyl sulfoxide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Demeton-s-methyl-sulfone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Diazinon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Diclofop-methyl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Difenthiuron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Dimethoate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Dinotefuran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Diuron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Esfenvalerate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Etrimfos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sym w:font="Symbol" w:char="F033"/>
            </w:r>
            <w:r w:rsidRPr="003F0596">
              <w:rPr>
                <w:rFonts w:ascii="Arial Narrow" w:hAnsi="Arial Narrow"/>
                <w:sz w:val="21"/>
                <w:szCs w:val="21"/>
                <w:lang w:bidi="hi-IN"/>
              </w:rPr>
              <w:sym w:font="Symbol" w:char="F037"/>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Fenoxaprop-p-Ethyl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Fenvalerate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Fenvalerate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Flonicamid</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Flufenzine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 mL</w:t>
            </w:r>
            <w:r>
              <w:rPr>
                <w:rFonts w:ascii="Arial Narrow" w:hAnsi="Arial Narrow"/>
                <w:sz w:val="21"/>
                <w:szCs w:val="21"/>
                <w:lang w:bidi="hi-IN"/>
              </w:rPr>
              <w:t xml:space="preserve"> or equalent</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Forchlorfenuron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Heptachlor</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Hexaconazole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Hexazinone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Homobrassinolide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Hydrogen Cyanamide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Imidachloprid</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Iprobenfos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Iprovalicarb</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Isoproturon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Lambda cyhalothrin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Linuron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Malathion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Mandipropamid</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Meptyldinocap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Methomyl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Methoxyfenazide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Methyl parthion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Metolachlor</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Milbemectin  A3</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Milbemectin  A4</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Monocrotophos</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Omethoate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p,p´-TDE (DDD)</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P,P-DDT</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Penconazole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Pencycuron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Phenthoate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Phorate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Phorate Sulfone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Phorate Sulfoxide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Phosmet</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Pretilachlor</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Propamocarb</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Propanil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Propiconazole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Pyridaben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S-Metholachlor</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Spirodiclofen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Sulphur</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Temephos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Thiacloprid</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Thifluzamide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85</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Thiobencarb</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86</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Thiobencarb</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87</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TNFA</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88</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TNFG</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89</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Transfluthrin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90</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Triadimefon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91</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Tridemorph </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92</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Tridimenol</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93</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Tri-Fluralin</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r w:rsidR="00D724C1" w:rsidRPr="003F0596" w:rsidTr="00314243">
        <w:trPr>
          <w:jc w:val="center"/>
        </w:trPr>
        <w:tc>
          <w:tcPr>
            <w:tcW w:w="710" w:type="dxa"/>
            <w:vAlign w:val="bottom"/>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94</w:t>
            </w:r>
          </w:p>
        </w:tc>
        <w:tc>
          <w:tcPr>
            <w:tcW w:w="3640"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Uracil (99% pure)</w:t>
            </w:r>
          </w:p>
        </w:tc>
        <w:tc>
          <w:tcPr>
            <w:tcW w:w="1749" w:type="dxa"/>
            <w:vAlign w:val="center"/>
          </w:tcPr>
          <w:p w:rsidR="00D724C1" w:rsidRPr="003F0596" w:rsidRDefault="00D724C1" w:rsidP="002F4D10">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 xml:space="preserve">5g </w:t>
            </w:r>
          </w:p>
        </w:tc>
        <w:tc>
          <w:tcPr>
            <w:tcW w:w="848"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853"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c>
          <w:tcPr>
            <w:tcW w:w="907" w:type="dxa"/>
          </w:tcPr>
          <w:p w:rsidR="00D724C1" w:rsidRPr="003F0596" w:rsidRDefault="00D724C1" w:rsidP="009360F6">
            <w:pPr>
              <w:spacing w:after="0" w:line="240" w:lineRule="auto"/>
              <w:jc w:val="center"/>
              <w:rPr>
                <w:rFonts w:ascii="Arial Narrow" w:hAnsi="Arial Narrow"/>
                <w:b/>
                <w:bCs/>
                <w:sz w:val="21"/>
                <w:szCs w:val="21"/>
                <w:lang w:bidi="hi-IN"/>
              </w:rPr>
            </w:pPr>
          </w:p>
        </w:tc>
        <w:tc>
          <w:tcPr>
            <w:tcW w:w="1118" w:type="dxa"/>
            <w:vAlign w:val="center"/>
          </w:tcPr>
          <w:p w:rsidR="00D724C1" w:rsidRPr="003F0596" w:rsidRDefault="00D724C1" w:rsidP="009360F6">
            <w:pPr>
              <w:spacing w:after="0" w:line="240" w:lineRule="auto"/>
              <w:jc w:val="center"/>
              <w:rPr>
                <w:rFonts w:ascii="Arial Narrow" w:hAnsi="Arial Narrow"/>
                <w:b/>
                <w:bCs/>
                <w:sz w:val="21"/>
                <w:szCs w:val="21"/>
                <w:lang w:bidi="hi-IN"/>
              </w:rPr>
            </w:pPr>
          </w:p>
        </w:tc>
      </w:tr>
    </w:tbl>
    <w:p w:rsidR="00465443" w:rsidRDefault="00673A54" w:rsidP="00673A54">
      <w:pPr>
        <w:spacing w:after="0" w:line="240" w:lineRule="auto"/>
        <w:rPr>
          <w:rFonts w:ascii="Times New Roman" w:hAnsi="Times New Roman"/>
          <w:b/>
          <w:color w:val="000000"/>
          <w:sz w:val="28"/>
          <w:szCs w:val="24"/>
          <w:lang w:val="en-GB" w:eastAsia="ar-SA" w:bidi="hi-IN"/>
        </w:rPr>
        <w:sectPr w:rsidR="00465443" w:rsidSect="0015493F">
          <w:footerReference w:type="default" r:id="rId22"/>
          <w:pgSz w:w="11909" w:h="16834" w:code="9"/>
          <w:pgMar w:top="360" w:right="929" w:bottom="990" w:left="1440" w:header="720" w:footer="720" w:gutter="0"/>
          <w:pgNumType w:start="1"/>
          <w:cols w:space="720"/>
          <w:docGrid w:linePitch="360"/>
        </w:sectPr>
      </w:pPr>
      <w:r>
        <w:rPr>
          <w:rFonts w:ascii="Times New Roman" w:hAnsi="Times New Roman"/>
          <w:b/>
          <w:color w:val="000000"/>
          <w:sz w:val="28"/>
          <w:szCs w:val="24"/>
          <w:lang w:val="en-GB" w:eastAsia="ar-SA" w:bidi="hi-IN"/>
        </w:rPr>
        <w:br w:type="page"/>
      </w:r>
    </w:p>
    <w:p w:rsidR="009C0DED" w:rsidRPr="006B20C4" w:rsidRDefault="009C0DED" w:rsidP="003F3154">
      <w:pPr>
        <w:pStyle w:val="StyleHeading2NotBoldBlackUnderlineCentered"/>
        <w:ind w:right="1080"/>
        <w:jc w:val="right"/>
        <w:rPr>
          <w:rFonts w:ascii="Times New Roman" w:hAnsi="Times New Roman"/>
          <w:szCs w:val="24"/>
          <w:u w:val="none"/>
        </w:rPr>
      </w:pPr>
      <w:r w:rsidRPr="006B20C4">
        <w:rPr>
          <w:rFonts w:ascii="Times New Roman" w:hAnsi="Times New Roman"/>
          <w:szCs w:val="24"/>
          <w:u w:val="none"/>
        </w:rPr>
        <w:t xml:space="preserve">Annexure – III </w:t>
      </w:r>
    </w:p>
    <w:p w:rsidR="008D686F" w:rsidRPr="00AB5CFF" w:rsidRDefault="00D207BA" w:rsidP="00C26BF3">
      <w:pPr>
        <w:pStyle w:val="ListParagraph"/>
        <w:numPr>
          <w:ilvl w:val="0"/>
          <w:numId w:val="9"/>
        </w:numPr>
        <w:contextualSpacing/>
        <w:rPr>
          <w:rFonts w:ascii="Times New Roman" w:hAnsi="Times New Roman"/>
          <w:b/>
        </w:rPr>
      </w:pPr>
      <w:r w:rsidRPr="00AB5CFF">
        <w:rPr>
          <w:rFonts w:ascii="Times New Roman" w:hAnsi="Times New Roman"/>
          <w:b/>
        </w:rPr>
        <w:t>PRICE BID – PART-B</w:t>
      </w:r>
    </w:p>
    <w:p w:rsidR="00465443" w:rsidRPr="00673A54" w:rsidRDefault="00D05DDB" w:rsidP="003F0596">
      <w:pPr>
        <w:pStyle w:val="ListParagraph"/>
        <w:suppressAutoHyphens w:val="0"/>
        <w:ind w:left="0" w:firstLine="360"/>
        <w:contextualSpacing/>
        <w:rPr>
          <w:b/>
          <w:bCs/>
        </w:rPr>
      </w:pPr>
      <w:r w:rsidRPr="00D05DDB">
        <w:rPr>
          <w:rFonts w:ascii="Times New Roman" w:hAnsi="Times New Roman"/>
          <w:bCs/>
        </w:rPr>
        <w:t xml:space="preserve">NAME OF THE ITEM:   </w:t>
      </w:r>
      <w:r>
        <w:rPr>
          <w:rFonts w:ascii="Times New Roman" w:hAnsi="Times New Roman"/>
          <w:bCs/>
        </w:rPr>
        <w:t xml:space="preserve">  </w:t>
      </w:r>
      <w:r w:rsidR="003F3154">
        <w:rPr>
          <w:rFonts w:ascii="Times New Roman" w:hAnsi="Times New Roman"/>
          <w:b/>
          <w:bCs/>
        </w:rPr>
        <w:t>Certified Reference Material</w:t>
      </w:r>
      <w:r w:rsidR="003F0596">
        <w:rPr>
          <w:rFonts w:ascii="Times New Roman" w:hAnsi="Times New Roman"/>
          <w:b/>
          <w:bCs/>
        </w:rPr>
        <w:t xml:space="preserve"> </w:t>
      </w:r>
      <w:r w:rsidR="00A65DD6">
        <w:rPr>
          <w:rFonts w:ascii="Times New Roman" w:hAnsi="Times New Roman"/>
          <w:b/>
        </w:rPr>
        <w:t xml:space="preserve">(As per specifications mentioned at </w:t>
      </w:r>
      <w:r w:rsidR="003F3154">
        <w:rPr>
          <w:rFonts w:ascii="Times New Roman" w:hAnsi="Times New Roman"/>
          <w:b/>
        </w:rPr>
        <w:t xml:space="preserve">Sl. No. </w:t>
      </w:r>
      <w:r w:rsidR="00AA4BD1">
        <w:rPr>
          <w:rFonts w:ascii="Times New Roman" w:hAnsi="Times New Roman"/>
          <w:b/>
        </w:rPr>
        <w:t>1</w:t>
      </w:r>
      <w:r w:rsidR="00C02D25">
        <w:rPr>
          <w:rFonts w:ascii="Times New Roman" w:hAnsi="Times New Roman"/>
          <w:b/>
        </w:rPr>
        <w:t>1</w:t>
      </w:r>
      <w:r w:rsidR="003F3154">
        <w:rPr>
          <w:rFonts w:ascii="Times New Roman" w:hAnsi="Times New Roman"/>
          <w:b/>
        </w:rPr>
        <w:t xml:space="preserve"> and Annexure-II</w:t>
      </w:r>
      <w:r w:rsidR="00A65DD6" w:rsidRPr="00EB2564">
        <w:rPr>
          <w:rFonts w:ascii="Times New Roman" w:hAnsi="Times New Roman"/>
          <w:b/>
        </w:rPr>
        <w:t>)</w:t>
      </w:r>
    </w:p>
    <w:tbl>
      <w:tblPr>
        <w:tblStyle w:val="TableGrid"/>
        <w:tblW w:w="15696" w:type="dxa"/>
        <w:jc w:val="center"/>
        <w:tblLook w:val="04A0" w:firstRow="1" w:lastRow="0" w:firstColumn="1" w:lastColumn="0" w:noHBand="0" w:noVBand="1"/>
      </w:tblPr>
      <w:tblGrid>
        <w:gridCol w:w="699"/>
        <w:gridCol w:w="3406"/>
        <w:gridCol w:w="1333"/>
        <w:gridCol w:w="805"/>
        <w:gridCol w:w="848"/>
        <w:gridCol w:w="1049"/>
        <w:gridCol w:w="889"/>
        <w:gridCol w:w="895"/>
        <w:gridCol w:w="2424"/>
        <w:gridCol w:w="928"/>
        <w:gridCol w:w="2420"/>
      </w:tblGrid>
      <w:tr w:rsidR="00D724C1" w:rsidRPr="003F0596" w:rsidTr="00D724C1">
        <w:trPr>
          <w:jc w:val="center"/>
        </w:trPr>
        <w:tc>
          <w:tcPr>
            <w:tcW w:w="699" w:type="dxa"/>
            <w:vAlign w:val="center"/>
          </w:tcPr>
          <w:p w:rsidR="00D724C1" w:rsidRPr="003F0596" w:rsidRDefault="00D724C1" w:rsidP="00465443">
            <w:pPr>
              <w:spacing w:after="0" w:line="240" w:lineRule="auto"/>
              <w:jc w:val="center"/>
              <w:rPr>
                <w:rFonts w:ascii="Arial Narrow" w:hAnsi="Arial Narrow"/>
                <w:b/>
                <w:sz w:val="21"/>
                <w:szCs w:val="21"/>
              </w:rPr>
            </w:pPr>
            <w:r w:rsidRPr="003F0596">
              <w:rPr>
                <w:rFonts w:ascii="Arial Narrow" w:hAnsi="Arial Narrow"/>
                <w:b/>
                <w:sz w:val="21"/>
                <w:szCs w:val="21"/>
              </w:rPr>
              <w:t>Sl. No</w:t>
            </w:r>
          </w:p>
        </w:tc>
        <w:tc>
          <w:tcPr>
            <w:tcW w:w="3406" w:type="dxa"/>
            <w:vAlign w:val="center"/>
          </w:tcPr>
          <w:p w:rsidR="00D724C1" w:rsidRPr="003F0596" w:rsidRDefault="00D724C1" w:rsidP="003F3154">
            <w:pPr>
              <w:spacing w:after="0" w:line="240" w:lineRule="auto"/>
              <w:jc w:val="center"/>
              <w:rPr>
                <w:rFonts w:ascii="Arial Narrow" w:hAnsi="Arial Narrow"/>
                <w:b/>
                <w:sz w:val="21"/>
                <w:szCs w:val="21"/>
              </w:rPr>
            </w:pPr>
            <w:r w:rsidRPr="003F0596">
              <w:rPr>
                <w:rFonts w:ascii="Arial Narrow" w:hAnsi="Arial Narrow"/>
                <w:b/>
                <w:sz w:val="21"/>
                <w:szCs w:val="21"/>
              </w:rPr>
              <w:t>Name of the CRM</w:t>
            </w:r>
          </w:p>
        </w:tc>
        <w:tc>
          <w:tcPr>
            <w:tcW w:w="1333" w:type="dxa"/>
            <w:vAlign w:val="center"/>
          </w:tcPr>
          <w:p w:rsidR="00D724C1" w:rsidRPr="003F0596" w:rsidRDefault="00D724C1" w:rsidP="003F3154">
            <w:pPr>
              <w:spacing w:after="0" w:line="240" w:lineRule="auto"/>
              <w:jc w:val="center"/>
              <w:rPr>
                <w:rFonts w:ascii="Arial Narrow" w:hAnsi="Arial Narrow"/>
                <w:b/>
                <w:sz w:val="21"/>
                <w:szCs w:val="21"/>
              </w:rPr>
            </w:pPr>
            <w:r w:rsidRPr="003F0596">
              <w:rPr>
                <w:rFonts w:ascii="Arial Narrow" w:hAnsi="Arial Narrow"/>
                <w:b/>
                <w:sz w:val="21"/>
                <w:szCs w:val="21"/>
              </w:rPr>
              <w:t xml:space="preserve">Required </w:t>
            </w:r>
          </w:p>
          <w:p w:rsidR="00D724C1" w:rsidRPr="003F0596" w:rsidRDefault="00D724C1" w:rsidP="003F3154">
            <w:pPr>
              <w:spacing w:after="0" w:line="240" w:lineRule="auto"/>
              <w:jc w:val="center"/>
              <w:rPr>
                <w:rFonts w:ascii="Arial Narrow" w:hAnsi="Arial Narrow"/>
                <w:b/>
                <w:sz w:val="21"/>
                <w:szCs w:val="21"/>
              </w:rPr>
            </w:pPr>
            <w:r w:rsidRPr="003F0596">
              <w:rPr>
                <w:rFonts w:ascii="Arial Narrow" w:hAnsi="Arial Narrow"/>
                <w:b/>
                <w:sz w:val="21"/>
                <w:szCs w:val="21"/>
              </w:rPr>
              <w:t>Quantity (mg)</w:t>
            </w:r>
          </w:p>
        </w:tc>
        <w:tc>
          <w:tcPr>
            <w:tcW w:w="805" w:type="dxa"/>
            <w:vAlign w:val="center"/>
          </w:tcPr>
          <w:p w:rsidR="00D724C1" w:rsidRDefault="00D724C1" w:rsidP="00D724C1">
            <w:pPr>
              <w:spacing w:after="0" w:line="240" w:lineRule="auto"/>
              <w:jc w:val="center"/>
              <w:rPr>
                <w:rFonts w:ascii="Arial Narrow" w:hAnsi="Arial Narrow"/>
                <w:b/>
                <w:bCs/>
                <w:sz w:val="21"/>
                <w:szCs w:val="21"/>
                <w:lang w:bidi="hi-IN"/>
              </w:rPr>
            </w:pPr>
            <w:r>
              <w:rPr>
                <w:rFonts w:ascii="Arial Narrow" w:hAnsi="Arial Narrow"/>
                <w:b/>
                <w:bCs/>
                <w:sz w:val="21"/>
                <w:szCs w:val="21"/>
                <w:lang w:bidi="hi-IN"/>
              </w:rPr>
              <w:t>Purity</w:t>
            </w:r>
          </w:p>
          <w:p w:rsidR="00D724C1" w:rsidRPr="003F0596" w:rsidRDefault="00D724C1" w:rsidP="00D724C1">
            <w:pPr>
              <w:spacing w:after="0" w:line="240" w:lineRule="auto"/>
              <w:jc w:val="center"/>
              <w:rPr>
                <w:rFonts w:ascii="Arial Narrow" w:hAnsi="Arial Narrow"/>
                <w:b/>
                <w:bCs/>
                <w:sz w:val="21"/>
                <w:szCs w:val="21"/>
                <w:lang w:bidi="hi-IN"/>
              </w:rPr>
            </w:pPr>
            <w:r>
              <w:rPr>
                <w:rFonts w:ascii="Arial Narrow" w:hAnsi="Arial Narrow"/>
                <w:b/>
                <w:bCs/>
                <w:sz w:val="21"/>
                <w:szCs w:val="21"/>
                <w:lang w:bidi="hi-IN"/>
              </w:rPr>
              <w:t>%</w:t>
            </w:r>
          </w:p>
        </w:tc>
        <w:tc>
          <w:tcPr>
            <w:tcW w:w="848" w:type="dxa"/>
            <w:vAlign w:val="center"/>
          </w:tcPr>
          <w:p w:rsidR="00D724C1" w:rsidRPr="003F0596" w:rsidRDefault="00D724C1" w:rsidP="00465443">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Make</w:t>
            </w:r>
          </w:p>
        </w:tc>
        <w:tc>
          <w:tcPr>
            <w:tcW w:w="1049" w:type="dxa"/>
            <w:vAlign w:val="center"/>
          </w:tcPr>
          <w:p w:rsidR="00D724C1" w:rsidRPr="003F0596" w:rsidRDefault="00D724C1" w:rsidP="00465443">
            <w:pPr>
              <w:spacing w:after="0" w:line="240" w:lineRule="auto"/>
              <w:jc w:val="center"/>
              <w:rPr>
                <w:rFonts w:ascii="Arial Narrow" w:hAnsi="Arial Narrow"/>
                <w:b/>
                <w:bCs/>
                <w:sz w:val="21"/>
                <w:szCs w:val="21"/>
                <w:lang w:bidi="hi-IN"/>
              </w:rPr>
            </w:pPr>
            <w:r w:rsidRPr="003F0596">
              <w:rPr>
                <w:rFonts w:ascii="Arial Narrow" w:hAnsi="Arial Narrow"/>
                <w:b/>
                <w:bCs/>
                <w:sz w:val="21"/>
                <w:szCs w:val="21"/>
                <w:lang w:bidi="hi-IN"/>
              </w:rPr>
              <w:t>Catalogue No.</w:t>
            </w:r>
          </w:p>
        </w:tc>
        <w:tc>
          <w:tcPr>
            <w:tcW w:w="889" w:type="dxa"/>
            <w:vAlign w:val="center"/>
          </w:tcPr>
          <w:p w:rsidR="00D724C1" w:rsidRPr="003F0596" w:rsidRDefault="00D724C1" w:rsidP="00465443">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Unit</w:t>
            </w:r>
          </w:p>
          <w:p w:rsidR="00D724C1" w:rsidRPr="003F0596" w:rsidRDefault="00D724C1" w:rsidP="00465443">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size</w:t>
            </w:r>
          </w:p>
        </w:tc>
        <w:tc>
          <w:tcPr>
            <w:tcW w:w="895" w:type="dxa"/>
            <w:vAlign w:val="center"/>
          </w:tcPr>
          <w:p w:rsidR="00D724C1" w:rsidRPr="003F0596" w:rsidRDefault="00D724C1" w:rsidP="00465443">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Unit Rate</w:t>
            </w:r>
          </w:p>
        </w:tc>
        <w:tc>
          <w:tcPr>
            <w:tcW w:w="2424" w:type="dxa"/>
            <w:vAlign w:val="center"/>
          </w:tcPr>
          <w:p w:rsidR="00D724C1" w:rsidRPr="003F0596" w:rsidRDefault="00D724C1" w:rsidP="009C1808">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 xml:space="preserve">Total Amount for required </w:t>
            </w:r>
          </w:p>
          <w:p w:rsidR="00D724C1" w:rsidRPr="003F0596" w:rsidRDefault="00D724C1" w:rsidP="009C1808">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quantity (excluding Tax)</w:t>
            </w:r>
          </w:p>
        </w:tc>
        <w:tc>
          <w:tcPr>
            <w:tcW w:w="928" w:type="dxa"/>
            <w:vAlign w:val="center"/>
          </w:tcPr>
          <w:p w:rsidR="00D724C1" w:rsidRPr="003F0596" w:rsidRDefault="00D724C1" w:rsidP="00465443">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Sales Tax/VAT</w:t>
            </w:r>
          </w:p>
        </w:tc>
        <w:tc>
          <w:tcPr>
            <w:tcW w:w="2420" w:type="dxa"/>
            <w:vAlign w:val="center"/>
          </w:tcPr>
          <w:p w:rsidR="00D724C1" w:rsidRPr="003F0596" w:rsidRDefault="00D724C1" w:rsidP="009C1808">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 xml:space="preserve">Total Amount for required </w:t>
            </w:r>
          </w:p>
          <w:p w:rsidR="00D724C1" w:rsidRPr="003F0596" w:rsidRDefault="00D724C1" w:rsidP="009C1808">
            <w:pPr>
              <w:pStyle w:val="StyleHeading2NotBoldBlackUnderlineCentered"/>
              <w:rPr>
                <w:rFonts w:ascii="Arial Narrow" w:hAnsi="Arial Narrow"/>
                <w:bCs/>
                <w:sz w:val="21"/>
                <w:szCs w:val="21"/>
                <w:u w:val="none"/>
                <w:lang w:bidi="ar-SA"/>
              </w:rPr>
            </w:pPr>
            <w:r w:rsidRPr="003F0596">
              <w:rPr>
                <w:rFonts w:ascii="Arial Narrow" w:hAnsi="Arial Narrow"/>
                <w:bCs/>
                <w:sz w:val="21"/>
                <w:szCs w:val="21"/>
                <w:u w:val="none"/>
                <w:lang w:bidi="ar-SA"/>
              </w:rPr>
              <w:t>quantity (including Tax)</w:t>
            </w: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2,4-D esters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3-hydroxy-carbofuran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4- CPA (4 Chlorophenoxy acetic acid)</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4-bromo-2-chlorophenol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4-bromo-2-chloro-phenol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sym w:font="Symbol" w:char="F061"/>
            </w:r>
            <w:r w:rsidRPr="003F0596">
              <w:rPr>
                <w:rFonts w:ascii="Arial Narrow" w:hAnsi="Arial Narrow"/>
                <w:sz w:val="21"/>
                <w:szCs w:val="21"/>
                <w:lang w:bidi="hi-IN"/>
              </w:rPr>
              <w:sym w:font="Symbol" w:char="F02D"/>
            </w:r>
            <w:r w:rsidRPr="003F0596">
              <w:rPr>
                <w:rFonts w:ascii="Arial Narrow" w:hAnsi="Arial Narrow"/>
                <w:sz w:val="21"/>
                <w:szCs w:val="21"/>
                <w:lang w:bidi="hi-IN"/>
              </w:rPr>
              <w:sym w:font="Symbol" w:char="F048"/>
            </w:r>
            <w:r w:rsidRPr="003F0596">
              <w:rPr>
                <w:rFonts w:ascii="Arial Narrow" w:hAnsi="Arial Narrow"/>
                <w:sz w:val="21"/>
                <w:szCs w:val="21"/>
                <w:lang w:bidi="hi-IN"/>
              </w:rPr>
              <w:sym w:font="Symbol" w:char="F043"/>
            </w:r>
            <w:r w:rsidRPr="003F0596">
              <w:rPr>
                <w:rFonts w:ascii="Arial Narrow" w:hAnsi="Arial Narrow"/>
                <w:sz w:val="21"/>
                <w:szCs w:val="21"/>
                <w:lang w:bidi="hi-IN"/>
              </w:rPr>
              <w:sym w:font="Symbol" w:char="F048"/>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Alachlor</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Anilofos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Atrazine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Avermectin B1a</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AvermectinB1b</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Azoxystrobin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Benalaxyl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Benalaxyl M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Beta- cyfluthrin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Bifenthrin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Carbofuran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Chlordane - cis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Chlordane - trans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Chlorpyrofos or (Chlorpyrifos)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Clomazone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Cyantraniliprole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Cyazofamid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Cyfluthrin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Delta-8,9 isomer of avermectin B1a</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DeltaMethrin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Demeton-s -Methyl sulfoxide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Demeton-s-methyl-sulfone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Diazinon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Diclofop-methyl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Difenthiuron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Dimethoate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Dinotefuran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Diuron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Esfenvalerate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Etrimfos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sym w:font="Symbol" w:char="F033"/>
            </w:r>
            <w:r w:rsidRPr="003F0596">
              <w:rPr>
                <w:rFonts w:ascii="Arial Narrow" w:hAnsi="Arial Narrow"/>
                <w:sz w:val="21"/>
                <w:szCs w:val="21"/>
                <w:lang w:bidi="hi-IN"/>
              </w:rPr>
              <w:sym w:font="Symbol" w:char="F037"/>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Fenoxaprop-p-Ethyl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Fenvalerate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39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Fenvalerate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Flonicamid</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Flufenzine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 mL</w:t>
            </w:r>
            <w:r>
              <w:rPr>
                <w:rFonts w:ascii="Arial Narrow" w:hAnsi="Arial Narrow"/>
                <w:sz w:val="21"/>
                <w:szCs w:val="21"/>
                <w:lang w:bidi="hi-IN"/>
              </w:rPr>
              <w:t xml:space="preserve"> or equalent</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Forchlorfenuron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Heptachlor</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Hexaconazole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Hexazinone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Homobrassinolide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Hydrogen Cyanamide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Imidachloprid</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49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Iprobenfos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Iprovalicarb</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Isoproturon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Lambda cyhalothrin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Linuron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Malathion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Mandipropamid</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Meptyldinocap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Methomyl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Methoxyfenazide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Methyl parthion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Metolachlor</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Milbemectin  A3</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Milbemectin  A4</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Monocrotophos</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Omethoate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p,p´-TDE (DDD)</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P,P-DDT</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Penconazole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Pencycuron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69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Phenthoate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Phorate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Phorate Sulfone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Phorate Sulfoxide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Phosmet</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Pretilachlor</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Propamocarb</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Propanil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Propiconazole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Pyridaben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79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S-Metholachlor</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Spirodiclofen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Sulphur</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Temephos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Thiacloprid</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Thifluzamide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 mL</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85</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Thiobencarb</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86</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Thiobencarb</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87</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TNFA</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88</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TNFG</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89</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Transfluthrin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90</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Triadimefon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91</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 xml:space="preserve">Tridemorph </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100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92</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Tridimenol</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93</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Tri-Fluralin</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250 mg</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r w:rsidR="00D724C1" w:rsidRPr="003F0596" w:rsidTr="00D724C1">
        <w:trPr>
          <w:jc w:val="center"/>
        </w:trPr>
        <w:tc>
          <w:tcPr>
            <w:tcW w:w="699" w:type="dxa"/>
            <w:vAlign w:val="bottom"/>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94</w:t>
            </w:r>
          </w:p>
        </w:tc>
        <w:tc>
          <w:tcPr>
            <w:tcW w:w="3406" w:type="dxa"/>
            <w:vAlign w:val="center"/>
          </w:tcPr>
          <w:p w:rsidR="00D724C1" w:rsidRPr="003F0596" w:rsidRDefault="00D724C1" w:rsidP="00B23DD3">
            <w:pPr>
              <w:spacing w:after="0" w:line="240" w:lineRule="auto"/>
              <w:rPr>
                <w:rFonts w:ascii="Arial Narrow" w:hAnsi="Arial Narrow"/>
                <w:sz w:val="21"/>
                <w:szCs w:val="21"/>
                <w:lang w:bidi="hi-IN"/>
              </w:rPr>
            </w:pPr>
            <w:r w:rsidRPr="003F0596">
              <w:rPr>
                <w:rFonts w:ascii="Arial Narrow" w:hAnsi="Arial Narrow"/>
                <w:sz w:val="21"/>
                <w:szCs w:val="21"/>
                <w:lang w:bidi="hi-IN"/>
              </w:rPr>
              <w:t>Uracil (99% pure)</w:t>
            </w:r>
          </w:p>
        </w:tc>
        <w:tc>
          <w:tcPr>
            <w:tcW w:w="1333" w:type="dxa"/>
            <w:vAlign w:val="center"/>
          </w:tcPr>
          <w:p w:rsidR="00D724C1" w:rsidRPr="003F0596" w:rsidRDefault="00D724C1" w:rsidP="00B23DD3">
            <w:pPr>
              <w:spacing w:after="0" w:line="240" w:lineRule="auto"/>
              <w:jc w:val="center"/>
              <w:rPr>
                <w:rFonts w:ascii="Arial Narrow" w:hAnsi="Arial Narrow"/>
                <w:sz w:val="21"/>
                <w:szCs w:val="21"/>
                <w:lang w:bidi="hi-IN"/>
              </w:rPr>
            </w:pPr>
            <w:r w:rsidRPr="003F0596">
              <w:rPr>
                <w:rFonts w:ascii="Arial Narrow" w:hAnsi="Arial Narrow"/>
                <w:sz w:val="21"/>
                <w:szCs w:val="21"/>
                <w:lang w:bidi="hi-IN"/>
              </w:rPr>
              <w:t xml:space="preserve">5g </w:t>
            </w:r>
          </w:p>
        </w:tc>
        <w:tc>
          <w:tcPr>
            <w:tcW w:w="80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48"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1049" w:type="dxa"/>
            <w:vAlign w:val="center"/>
          </w:tcPr>
          <w:p w:rsidR="00D724C1" w:rsidRPr="003F0596" w:rsidRDefault="00D724C1" w:rsidP="00A34754">
            <w:pPr>
              <w:spacing w:after="0" w:line="240" w:lineRule="auto"/>
              <w:jc w:val="center"/>
              <w:rPr>
                <w:rFonts w:ascii="Arial Narrow" w:hAnsi="Arial Narrow"/>
                <w:b/>
                <w:bCs/>
                <w:sz w:val="21"/>
                <w:szCs w:val="21"/>
                <w:lang w:bidi="hi-IN"/>
              </w:rPr>
            </w:pPr>
          </w:p>
        </w:tc>
        <w:tc>
          <w:tcPr>
            <w:tcW w:w="889"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895"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4"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928" w:type="dxa"/>
          </w:tcPr>
          <w:p w:rsidR="00D724C1" w:rsidRPr="003F0596" w:rsidRDefault="00D724C1" w:rsidP="00A34754">
            <w:pPr>
              <w:spacing w:after="0" w:line="240" w:lineRule="auto"/>
              <w:jc w:val="center"/>
              <w:rPr>
                <w:rFonts w:ascii="Arial Narrow" w:hAnsi="Arial Narrow"/>
                <w:b/>
                <w:bCs/>
                <w:sz w:val="21"/>
                <w:szCs w:val="21"/>
                <w:lang w:bidi="hi-IN"/>
              </w:rPr>
            </w:pPr>
          </w:p>
        </w:tc>
        <w:tc>
          <w:tcPr>
            <w:tcW w:w="2420" w:type="dxa"/>
          </w:tcPr>
          <w:p w:rsidR="00D724C1" w:rsidRPr="003F0596" w:rsidRDefault="00D724C1" w:rsidP="00A34754">
            <w:pPr>
              <w:spacing w:after="0" w:line="240" w:lineRule="auto"/>
              <w:jc w:val="center"/>
              <w:rPr>
                <w:rFonts w:ascii="Arial Narrow" w:hAnsi="Arial Narrow"/>
                <w:b/>
                <w:bCs/>
                <w:sz w:val="21"/>
                <w:szCs w:val="21"/>
                <w:lang w:bidi="hi-IN"/>
              </w:rPr>
            </w:pPr>
          </w:p>
        </w:tc>
      </w:tr>
    </w:tbl>
    <w:p w:rsidR="00F40A55" w:rsidRDefault="00F40A55" w:rsidP="003F3154">
      <w:pPr>
        <w:pStyle w:val="StyleHeading2NotBoldBlackUnderlineCentered"/>
        <w:ind w:left="720" w:hanging="720"/>
        <w:jc w:val="left"/>
        <w:rPr>
          <w:rFonts w:ascii="Times New Roman" w:hAnsi="Times New Roman"/>
          <w:bCs/>
          <w:sz w:val="24"/>
          <w:szCs w:val="24"/>
          <w:u w:val="none"/>
        </w:rPr>
      </w:pPr>
    </w:p>
    <w:p w:rsidR="003F3154" w:rsidRDefault="003F3154" w:rsidP="003F3154">
      <w:pPr>
        <w:pStyle w:val="StyleHeading2NotBoldBlackUnderlineCentered"/>
        <w:ind w:left="720" w:hanging="720"/>
        <w:jc w:val="left"/>
        <w:rPr>
          <w:rFonts w:ascii="Times New Roman" w:hAnsi="Times New Roman"/>
          <w:bCs/>
          <w:sz w:val="24"/>
          <w:szCs w:val="24"/>
          <w:u w:val="none"/>
        </w:rPr>
      </w:pPr>
      <w:r w:rsidRPr="003F3154">
        <w:rPr>
          <w:rFonts w:ascii="Times New Roman" w:hAnsi="Times New Roman"/>
          <w:bCs/>
          <w:sz w:val="24"/>
          <w:szCs w:val="24"/>
          <w:u w:val="none"/>
        </w:rPr>
        <w:t xml:space="preserve">Note: </w:t>
      </w:r>
      <w:r>
        <w:rPr>
          <w:rFonts w:ascii="Times New Roman" w:hAnsi="Times New Roman"/>
          <w:bCs/>
          <w:sz w:val="24"/>
          <w:szCs w:val="24"/>
          <w:u w:val="none"/>
        </w:rPr>
        <w:tab/>
      </w:r>
      <w:r w:rsidRPr="003F3154">
        <w:rPr>
          <w:rFonts w:ascii="Times New Roman" w:hAnsi="Times New Roman"/>
          <w:bCs/>
          <w:sz w:val="24"/>
          <w:szCs w:val="24"/>
          <w:u w:val="none"/>
        </w:rPr>
        <w:t>1.</w:t>
      </w:r>
      <w:r>
        <w:rPr>
          <w:rFonts w:ascii="Times New Roman" w:hAnsi="Times New Roman"/>
          <w:b w:val="0"/>
          <w:sz w:val="24"/>
          <w:szCs w:val="24"/>
          <w:u w:val="none"/>
        </w:rPr>
        <w:t xml:space="preserve"> </w:t>
      </w:r>
      <w:r w:rsidRPr="00300A21">
        <w:rPr>
          <w:rFonts w:ascii="Times New Roman" w:hAnsi="Times New Roman"/>
          <w:b w:val="0"/>
          <w:sz w:val="24"/>
          <w:szCs w:val="24"/>
          <w:u w:val="none"/>
        </w:rPr>
        <w:t xml:space="preserve">Items should be </w:t>
      </w:r>
      <w:r w:rsidR="00CB6E38">
        <w:rPr>
          <w:rFonts w:ascii="Times New Roman" w:hAnsi="Times New Roman"/>
          <w:b w:val="0"/>
          <w:sz w:val="24"/>
          <w:szCs w:val="24"/>
          <w:u w:val="none"/>
        </w:rPr>
        <w:t xml:space="preserve">supplied </w:t>
      </w:r>
      <w:r w:rsidRPr="00300A21">
        <w:rPr>
          <w:rFonts w:ascii="Times New Roman" w:hAnsi="Times New Roman"/>
          <w:b w:val="0"/>
          <w:sz w:val="24"/>
          <w:szCs w:val="24"/>
          <w:u w:val="none"/>
        </w:rPr>
        <w:t>at NIPHM.</w:t>
      </w:r>
      <w:r>
        <w:rPr>
          <w:rFonts w:ascii="Times New Roman" w:hAnsi="Times New Roman"/>
          <w:b w:val="0"/>
          <w:sz w:val="24"/>
          <w:szCs w:val="24"/>
          <w:u w:val="none"/>
        </w:rPr>
        <w:t xml:space="preserve"> </w:t>
      </w:r>
      <w:r w:rsidRPr="003F3154">
        <w:rPr>
          <w:rFonts w:ascii="Times New Roman" w:hAnsi="Times New Roman"/>
          <w:bCs/>
          <w:sz w:val="24"/>
          <w:szCs w:val="24"/>
          <w:u w:val="none"/>
        </w:rPr>
        <w:t xml:space="preserve">2. </w:t>
      </w:r>
      <w:r w:rsidRPr="00043854">
        <w:rPr>
          <w:rFonts w:ascii="Times New Roman" w:hAnsi="Times New Roman"/>
          <w:b w:val="0"/>
          <w:sz w:val="24"/>
          <w:szCs w:val="24"/>
          <w:u w:val="none"/>
        </w:rPr>
        <w:t>Sales tax/VAT should be indicated clearly.</w:t>
      </w:r>
      <w:r>
        <w:rPr>
          <w:rFonts w:ascii="Times New Roman" w:hAnsi="Times New Roman"/>
          <w:b w:val="0"/>
          <w:sz w:val="24"/>
          <w:szCs w:val="24"/>
          <w:u w:val="none"/>
        </w:rPr>
        <w:t xml:space="preserve"> </w:t>
      </w:r>
      <w:r w:rsidRPr="003F3154">
        <w:rPr>
          <w:rFonts w:ascii="Times New Roman" w:hAnsi="Times New Roman"/>
          <w:bCs/>
          <w:sz w:val="24"/>
          <w:szCs w:val="24"/>
          <w:u w:val="none"/>
        </w:rPr>
        <w:t>3.</w:t>
      </w:r>
      <w:r>
        <w:rPr>
          <w:rFonts w:ascii="Times New Roman" w:hAnsi="Times New Roman"/>
          <w:b w:val="0"/>
          <w:sz w:val="24"/>
          <w:szCs w:val="24"/>
          <w:u w:val="none"/>
        </w:rPr>
        <w:t xml:space="preserve"> </w:t>
      </w:r>
      <w:r w:rsidRPr="00043854">
        <w:rPr>
          <w:rFonts w:ascii="Times New Roman" w:hAnsi="Times New Roman"/>
          <w:b w:val="0"/>
          <w:sz w:val="24"/>
          <w:szCs w:val="24"/>
          <w:u w:val="none"/>
        </w:rPr>
        <w:t>Prices should be quoted only in Indian rupees.</w:t>
      </w:r>
      <w:r>
        <w:rPr>
          <w:rFonts w:ascii="Times New Roman" w:hAnsi="Times New Roman"/>
          <w:b w:val="0"/>
          <w:sz w:val="24"/>
          <w:szCs w:val="24"/>
          <w:u w:val="none"/>
        </w:rPr>
        <w:t xml:space="preserve"> </w:t>
      </w:r>
      <w:r w:rsidRPr="003F3154">
        <w:rPr>
          <w:rFonts w:ascii="Times New Roman" w:hAnsi="Times New Roman"/>
          <w:bCs/>
          <w:sz w:val="24"/>
          <w:szCs w:val="24"/>
          <w:u w:val="none"/>
        </w:rPr>
        <w:t>4.</w:t>
      </w:r>
      <w:r>
        <w:rPr>
          <w:rFonts w:ascii="Times New Roman" w:hAnsi="Times New Roman"/>
          <w:b w:val="0"/>
          <w:sz w:val="24"/>
          <w:szCs w:val="24"/>
          <w:u w:val="none"/>
        </w:rPr>
        <w:t> </w:t>
      </w: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r>
        <w:rPr>
          <w:rFonts w:ascii="Times New Roman" w:hAnsi="Times New Roman"/>
          <w:bCs/>
          <w:sz w:val="24"/>
          <w:szCs w:val="24"/>
          <w:u w:val="none"/>
        </w:rPr>
        <w:t xml:space="preserve">5. 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3F3154" w:rsidRPr="00300A21" w:rsidRDefault="003F3154" w:rsidP="003F3154">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F3154"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3F3154" w:rsidRPr="00300A21" w:rsidRDefault="003F3154" w:rsidP="003F315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465443">
      <w:pPr>
        <w:spacing w:after="0" w:line="240" w:lineRule="auto"/>
        <w:rPr>
          <w:rFonts w:ascii="Times New Roman" w:hAnsi="Times New Roman"/>
          <w:szCs w:val="24"/>
        </w:rPr>
        <w:sectPr w:rsidR="00465443" w:rsidSect="00D35737">
          <w:pgSz w:w="16834" w:h="11909" w:orient="landscape" w:code="9"/>
          <w:pgMar w:top="720" w:right="360" w:bottom="720" w:left="994" w:header="720" w:footer="720" w:gutter="0"/>
          <w:cols w:space="720"/>
          <w:docGrid w:linePitch="360"/>
        </w:sectPr>
      </w:pPr>
    </w:p>
    <w:p w:rsidR="007C0019" w:rsidRDefault="007C0019">
      <w:pPr>
        <w:spacing w:after="0" w:line="240" w:lineRule="auto"/>
        <w:rPr>
          <w:rFonts w:ascii="Times New Roman" w:hAnsi="Times New Roman"/>
          <w:b/>
          <w:color w:val="000000"/>
          <w:sz w:val="28"/>
          <w:szCs w:val="24"/>
          <w:lang w:val="en-GB" w:eastAsia="ar-SA" w:bidi="hi-IN"/>
        </w:rPr>
      </w:pPr>
    </w:p>
    <w:p w:rsidR="007106A9" w:rsidRPr="006B20C4" w:rsidRDefault="007106A9" w:rsidP="007106A9">
      <w:pPr>
        <w:pStyle w:val="StyleHeading2NotBoldBlackUnderlineCentered"/>
        <w:jc w:val="lef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Pr="006B20C4">
        <w:rPr>
          <w:rFonts w:ascii="Times New Roman" w:hAnsi="Times New Roman"/>
          <w:szCs w:val="24"/>
          <w:u w:val="none"/>
        </w:rPr>
        <w:t>ANNEXURE –IV</w:t>
      </w: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Instructions for Online Bid Submission:</w:t>
      </w:r>
    </w:p>
    <w:p w:rsidR="00AA4BD1" w:rsidRPr="003D3CC3" w:rsidRDefault="00AA4BD1" w:rsidP="00AA4BD1">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3D3CC3">
          <w:rPr>
            <w:rStyle w:val="Hyperlink"/>
            <w:rFonts w:cs="Tahoma"/>
          </w:rPr>
          <w:t>https://eprocure.gov.in/eprocure/app</w:t>
        </w:r>
      </w:hyperlink>
      <w:r w:rsidRPr="003D3CC3">
        <w:rPr>
          <w:rFonts w:cs="Tahoma"/>
        </w:rPr>
        <w:t>.</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REGISTRATION :</w:t>
      </w:r>
    </w:p>
    <w:p w:rsidR="00AA4BD1" w:rsidRPr="003D3CC3" w:rsidRDefault="00AA4BD1" w:rsidP="00AA4BD1">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AA4BD1" w:rsidRPr="003D3CC3" w:rsidRDefault="00AA4BD1" w:rsidP="00AA4BD1">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AA4BD1" w:rsidRPr="003D3CC3" w:rsidRDefault="00AA4BD1" w:rsidP="00AA4BD1">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AA4BD1" w:rsidRPr="003D3CC3" w:rsidRDefault="00AA4BD1" w:rsidP="00AA4BD1">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w:t>
      </w:r>
      <w:r>
        <w:rPr>
          <w:rFonts w:cs="Tahoma"/>
        </w:rPr>
        <w:t xml:space="preserve"> </w:t>
      </w:r>
      <w:r w:rsidRPr="003D3CC3">
        <w:rPr>
          <w:rFonts w:cs="Tahoma"/>
        </w:rPr>
        <w:t>etc.), with their profile.</w:t>
      </w:r>
    </w:p>
    <w:p w:rsidR="00AA4BD1" w:rsidRPr="003D3CC3" w:rsidRDefault="00AA4BD1" w:rsidP="00AA4BD1">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AA4BD1" w:rsidRPr="003D3CC3" w:rsidRDefault="00AA4BD1" w:rsidP="00AA4BD1">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AA4BD1" w:rsidRPr="003D3CC3" w:rsidRDefault="00AA4BD1" w:rsidP="00AA4BD1">
      <w:pPr>
        <w:autoSpaceDE w:val="0"/>
        <w:autoSpaceDN w:val="0"/>
        <w:adjustRightInd w:val="0"/>
        <w:jc w:val="both"/>
        <w:rPr>
          <w:rFonts w:cs="Tahoma"/>
          <w:b/>
          <w:bCs/>
          <w:u w:val="single"/>
        </w:rPr>
      </w:pPr>
      <w:r w:rsidRPr="003D3CC3">
        <w:rPr>
          <w:rFonts w:cs="Tahoma"/>
          <w:b/>
          <w:bCs/>
          <w:u w:val="single"/>
        </w:rPr>
        <w:t>SEARCHING FOR TENDER DOCUMENTS:</w:t>
      </w:r>
    </w:p>
    <w:p w:rsidR="00AA4BD1" w:rsidRPr="003D3CC3" w:rsidRDefault="00AA4BD1" w:rsidP="00AA4BD1">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3D3CC3" w:rsidRDefault="00AA4BD1" w:rsidP="00AA4BD1">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3D3CC3" w:rsidRDefault="00AA4BD1" w:rsidP="00AA4BD1">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PREPARATION OF BIDS :</w:t>
      </w:r>
    </w:p>
    <w:p w:rsidR="00AA4BD1" w:rsidRPr="003D3CC3" w:rsidRDefault="00AA4BD1" w:rsidP="00AA4BD1">
      <w:pPr>
        <w:autoSpaceDE w:val="0"/>
        <w:autoSpaceDN w:val="0"/>
        <w:adjustRightInd w:val="0"/>
        <w:jc w:val="both"/>
        <w:rPr>
          <w:rFonts w:cs="Arial"/>
        </w:rPr>
      </w:pPr>
      <w:r w:rsidRPr="003D3CC3">
        <w:rPr>
          <w:rFonts w:cs="Arial"/>
        </w:rPr>
        <w:t>1) Bidder should take into account any corrigendum published on the tender document before submitting their bids.</w:t>
      </w:r>
    </w:p>
    <w:p w:rsidR="00AA4BD1" w:rsidRPr="003D3CC3" w:rsidRDefault="00AA4BD1" w:rsidP="00AA4BD1">
      <w:pPr>
        <w:autoSpaceDE w:val="0"/>
        <w:autoSpaceDN w:val="0"/>
        <w:adjustRightInd w:val="0"/>
        <w:jc w:val="both"/>
        <w:rPr>
          <w:rFonts w:cs="Arial"/>
        </w:rPr>
      </w:pPr>
      <w:r w:rsidRPr="003D3CC3">
        <w:rPr>
          <w:rFonts w:cs="Arial"/>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3D3CC3" w:rsidRDefault="00AA4BD1" w:rsidP="00AA4BD1">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3D3CC3" w:rsidRDefault="00AA4BD1" w:rsidP="00AA4BD1">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SUBMISSION OF BIDS :</w:t>
      </w:r>
    </w:p>
    <w:p w:rsidR="00AA4BD1" w:rsidRPr="003D3CC3" w:rsidRDefault="00AA4BD1" w:rsidP="00AA4BD1">
      <w:pPr>
        <w:autoSpaceDE w:val="0"/>
        <w:autoSpaceDN w:val="0"/>
        <w:adjustRightInd w:val="0"/>
        <w:jc w:val="both"/>
        <w:rPr>
          <w:rFonts w:cs="Arial"/>
        </w:rPr>
      </w:pPr>
      <w:r w:rsidRPr="003D3CC3">
        <w:rPr>
          <w:rFonts w:cs="Arial"/>
        </w:rPr>
        <w:t xml:space="preserve">1) Bidder should log into the </w:t>
      </w:r>
      <w:r w:rsidR="00D724C1">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AA4BD1" w:rsidRPr="003D3CC3" w:rsidRDefault="00AA4BD1" w:rsidP="00AA4BD1">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AA4BD1" w:rsidRPr="003D3CC3" w:rsidRDefault="00AA4BD1" w:rsidP="00AA4BD1">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AA4BD1" w:rsidRPr="003D3CC3" w:rsidRDefault="00AA4BD1" w:rsidP="00AA4BD1">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3D3CC3" w:rsidRDefault="00AA4BD1" w:rsidP="00AA4BD1">
      <w:pPr>
        <w:autoSpaceDE w:val="0"/>
        <w:autoSpaceDN w:val="0"/>
        <w:adjustRightInd w:val="0"/>
        <w:jc w:val="both"/>
        <w:rPr>
          <w:rFonts w:cs="Arial"/>
        </w:rPr>
      </w:pPr>
      <w:r w:rsidRPr="003D3CC3">
        <w:rPr>
          <w:rFonts w:cs="Arial"/>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3D3CC3" w:rsidRDefault="00AA4BD1" w:rsidP="00AA4BD1">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AA4BD1" w:rsidRPr="003D3CC3" w:rsidRDefault="00AA4BD1" w:rsidP="00AA4BD1">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3D3CC3" w:rsidRDefault="00AA4BD1" w:rsidP="00AA4BD1">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3D3CC3" w:rsidRDefault="00AA4BD1" w:rsidP="00AA4BD1">
      <w:pPr>
        <w:autoSpaceDE w:val="0"/>
        <w:autoSpaceDN w:val="0"/>
        <w:adjustRightInd w:val="0"/>
        <w:jc w:val="both"/>
        <w:rPr>
          <w:rFonts w:cs="Arial"/>
        </w:rPr>
      </w:pPr>
      <w:r w:rsidRPr="003D3CC3">
        <w:rPr>
          <w:rFonts w:cs="Arial"/>
        </w:rPr>
        <w:t>8) The uploaded tender documents become readable only after the tender opening by the authorized bid openers.</w:t>
      </w:r>
    </w:p>
    <w:p w:rsidR="00AA4BD1" w:rsidRPr="003D3CC3" w:rsidRDefault="00AA4BD1" w:rsidP="00AA4BD1">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3D3CC3" w:rsidRDefault="00AA4BD1" w:rsidP="00AA4BD1">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AA4BD1" w:rsidRPr="003D3CC3" w:rsidRDefault="00AA4BD1" w:rsidP="00AA4BD1">
      <w:pPr>
        <w:autoSpaceDE w:val="0"/>
        <w:autoSpaceDN w:val="0"/>
        <w:adjustRightInd w:val="0"/>
        <w:jc w:val="both"/>
        <w:rPr>
          <w:rFonts w:cs="Arial"/>
          <w:b/>
          <w:bCs/>
          <w:u w:val="single"/>
        </w:rPr>
      </w:pPr>
      <w:r w:rsidRPr="003D3CC3">
        <w:rPr>
          <w:rFonts w:cs="Arial"/>
          <w:b/>
          <w:bCs/>
          <w:u w:val="single"/>
        </w:rPr>
        <w:t>ASSISTANCE TO BIDDERS</w:t>
      </w:r>
    </w:p>
    <w:p w:rsidR="00AA4BD1" w:rsidRPr="003D3CC3" w:rsidRDefault="00AA4BD1" w:rsidP="00AA4BD1">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AA4BD1" w:rsidRPr="003D3CC3" w:rsidRDefault="00AA4BD1" w:rsidP="00AA4BD1">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bookmarkStart w:id="0" w:name="_GoBack"/>
      <w:bookmarkEnd w:id="0"/>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C9" w:rsidRDefault="00C312C9" w:rsidP="003A7CC6">
      <w:pPr>
        <w:spacing w:after="0" w:line="240" w:lineRule="auto"/>
      </w:pPr>
      <w:r>
        <w:separator/>
      </w:r>
    </w:p>
  </w:endnote>
  <w:endnote w:type="continuationSeparator" w:id="0">
    <w:p w:rsidR="00C312C9" w:rsidRDefault="00C312C9"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E5" w:rsidRDefault="00BB69E5">
    <w:pPr>
      <w:pStyle w:val="Footer"/>
      <w:jc w:val="right"/>
    </w:pPr>
    <w:r>
      <w:t xml:space="preserve">              </w:t>
    </w:r>
    <w:r>
      <w:tab/>
    </w:r>
  </w:p>
  <w:p w:rsidR="00BB69E5" w:rsidRDefault="00BB69E5"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C312C9">
      <w:rPr>
        <w:noProof/>
      </w:rPr>
      <w:t>1</w:t>
    </w:r>
    <w:r>
      <w:rPr>
        <w:noProof/>
      </w:rPr>
      <w:fldChar w:fldCharType="end"/>
    </w:r>
  </w:p>
  <w:p w:rsidR="00BB69E5" w:rsidRDefault="00BB69E5"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C9" w:rsidRDefault="00C312C9" w:rsidP="003A7CC6">
      <w:pPr>
        <w:spacing w:after="0" w:line="240" w:lineRule="auto"/>
      </w:pPr>
      <w:r>
        <w:separator/>
      </w:r>
    </w:p>
  </w:footnote>
  <w:footnote w:type="continuationSeparator" w:id="0">
    <w:p w:rsidR="00C312C9" w:rsidRDefault="00C312C9"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3">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18"/>
  </w:num>
  <w:num w:numId="5">
    <w:abstractNumId w:val="20"/>
  </w:num>
  <w:num w:numId="6">
    <w:abstractNumId w:val="13"/>
  </w:num>
  <w:num w:numId="7">
    <w:abstractNumId w:val="10"/>
  </w:num>
  <w:num w:numId="8">
    <w:abstractNumId w:val="7"/>
  </w:num>
  <w:num w:numId="9">
    <w:abstractNumId w:val="24"/>
  </w:num>
  <w:num w:numId="10">
    <w:abstractNumId w:val="0"/>
  </w:num>
  <w:num w:numId="11">
    <w:abstractNumId w:val="1"/>
  </w:num>
  <w:num w:numId="12">
    <w:abstractNumId w:val="11"/>
  </w:num>
  <w:num w:numId="13">
    <w:abstractNumId w:val="8"/>
  </w:num>
  <w:num w:numId="14">
    <w:abstractNumId w:val="15"/>
  </w:num>
  <w:num w:numId="15">
    <w:abstractNumId w:val="16"/>
  </w:num>
  <w:num w:numId="16">
    <w:abstractNumId w:val="3"/>
  </w:num>
  <w:num w:numId="17">
    <w:abstractNumId w:val="2"/>
  </w:num>
  <w:num w:numId="18">
    <w:abstractNumId w:val="17"/>
  </w:num>
  <w:num w:numId="19">
    <w:abstractNumId w:val="14"/>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5"/>
  </w:num>
  <w:num w:numId="24">
    <w:abstractNumId w:val="19"/>
  </w:num>
  <w:num w:numId="2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52E7F"/>
    <w:rsid w:val="000557AF"/>
    <w:rsid w:val="00060454"/>
    <w:rsid w:val="00060852"/>
    <w:rsid w:val="00063FE3"/>
    <w:rsid w:val="00065447"/>
    <w:rsid w:val="000703E5"/>
    <w:rsid w:val="00081336"/>
    <w:rsid w:val="00081373"/>
    <w:rsid w:val="00085B33"/>
    <w:rsid w:val="00091461"/>
    <w:rsid w:val="000B5380"/>
    <w:rsid w:val="000D229A"/>
    <w:rsid w:val="000D2FE9"/>
    <w:rsid w:val="000D4989"/>
    <w:rsid w:val="000D4D43"/>
    <w:rsid w:val="000D4E76"/>
    <w:rsid w:val="000D688D"/>
    <w:rsid w:val="000D7F6B"/>
    <w:rsid w:val="000E26FE"/>
    <w:rsid w:val="000E6DE0"/>
    <w:rsid w:val="000E799E"/>
    <w:rsid w:val="000F32C3"/>
    <w:rsid w:val="000F7A3C"/>
    <w:rsid w:val="00105341"/>
    <w:rsid w:val="001077E8"/>
    <w:rsid w:val="00110FE0"/>
    <w:rsid w:val="001124D8"/>
    <w:rsid w:val="00120D2F"/>
    <w:rsid w:val="00122E22"/>
    <w:rsid w:val="00125002"/>
    <w:rsid w:val="00125CDD"/>
    <w:rsid w:val="00126C72"/>
    <w:rsid w:val="001326E7"/>
    <w:rsid w:val="0013750A"/>
    <w:rsid w:val="00141DBD"/>
    <w:rsid w:val="00153A77"/>
    <w:rsid w:val="0015493F"/>
    <w:rsid w:val="00164BFC"/>
    <w:rsid w:val="00174505"/>
    <w:rsid w:val="001809E1"/>
    <w:rsid w:val="00181579"/>
    <w:rsid w:val="00191852"/>
    <w:rsid w:val="001A5E65"/>
    <w:rsid w:val="001A6D9A"/>
    <w:rsid w:val="001B09CB"/>
    <w:rsid w:val="001B275F"/>
    <w:rsid w:val="001B3C81"/>
    <w:rsid w:val="001B543E"/>
    <w:rsid w:val="001B6464"/>
    <w:rsid w:val="001B7C41"/>
    <w:rsid w:val="001C1FC9"/>
    <w:rsid w:val="001C5442"/>
    <w:rsid w:val="001D5FDF"/>
    <w:rsid w:val="001D71D7"/>
    <w:rsid w:val="001D73D2"/>
    <w:rsid w:val="001F0243"/>
    <w:rsid w:val="001F0CB6"/>
    <w:rsid w:val="001F33C4"/>
    <w:rsid w:val="0020173C"/>
    <w:rsid w:val="00203C6D"/>
    <w:rsid w:val="00211743"/>
    <w:rsid w:val="00211A0C"/>
    <w:rsid w:val="00217D24"/>
    <w:rsid w:val="0022138F"/>
    <w:rsid w:val="0022272E"/>
    <w:rsid w:val="00226AC2"/>
    <w:rsid w:val="002275C3"/>
    <w:rsid w:val="00227971"/>
    <w:rsid w:val="00231BCC"/>
    <w:rsid w:val="00232525"/>
    <w:rsid w:val="00233072"/>
    <w:rsid w:val="00234071"/>
    <w:rsid w:val="002366EC"/>
    <w:rsid w:val="002409E5"/>
    <w:rsid w:val="00246669"/>
    <w:rsid w:val="00252F89"/>
    <w:rsid w:val="00260837"/>
    <w:rsid w:val="00265439"/>
    <w:rsid w:val="002660B5"/>
    <w:rsid w:val="00266A50"/>
    <w:rsid w:val="00266D7D"/>
    <w:rsid w:val="00267315"/>
    <w:rsid w:val="00275F87"/>
    <w:rsid w:val="00281B3D"/>
    <w:rsid w:val="00293AF0"/>
    <w:rsid w:val="002A0FE7"/>
    <w:rsid w:val="002A3ECB"/>
    <w:rsid w:val="002A7211"/>
    <w:rsid w:val="002B1229"/>
    <w:rsid w:val="002B4508"/>
    <w:rsid w:val="002B6BD0"/>
    <w:rsid w:val="002B70D2"/>
    <w:rsid w:val="002C2EFD"/>
    <w:rsid w:val="002C40CB"/>
    <w:rsid w:val="002C43FA"/>
    <w:rsid w:val="002D0E03"/>
    <w:rsid w:val="002D1C41"/>
    <w:rsid w:val="002D2B69"/>
    <w:rsid w:val="002D45E5"/>
    <w:rsid w:val="002D7DA0"/>
    <w:rsid w:val="002E3595"/>
    <w:rsid w:val="002E4651"/>
    <w:rsid w:val="002E4CF4"/>
    <w:rsid w:val="002E6506"/>
    <w:rsid w:val="002F05DE"/>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5246"/>
    <w:rsid w:val="00475D8F"/>
    <w:rsid w:val="0047673D"/>
    <w:rsid w:val="00477080"/>
    <w:rsid w:val="00480892"/>
    <w:rsid w:val="004854AD"/>
    <w:rsid w:val="004912C3"/>
    <w:rsid w:val="0049138A"/>
    <w:rsid w:val="004977F9"/>
    <w:rsid w:val="004A3932"/>
    <w:rsid w:val="004B2DFB"/>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70F92"/>
    <w:rsid w:val="005753AD"/>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D0E4D"/>
    <w:rsid w:val="005D2DDB"/>
    <w:rsid w:val="005D7BA5"/>
    <w:rsid w:val="005E205C"/>
    <w:rsid w:val="005E56A3"/>
    <w:rsid w:val="005F0EE1"/>
    <w:rsid w:val="005F3B3F"/>
    <w:rsid w:val="005F5A51"/>
    <w:rsid w:val="00603A6A"/>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166F"/>
    <w:rsid w:val="0065214A"/>
    <w:rsid w:val="0065666A"/>
    <w:rsid w:val="00660E27"/>
    <w:rsid w:val="0066637B"/>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53AC"/>
    <w:rsid w:val="006F0E50"/>
    <w:rsid w:val="006F25A4"/>
    <w:rsid w:val="006F46A1"/>
    <w:rsid w:val="006F4B04"/>
    <w:rsid w:val="006F563A"/>
    <w:rsid w:val="006F5910"/>
    <w:rsid w:val="006F72BA"/>
    <w:rsid w:val="007033F4"/>
    <w:rsid w:val="00703DBE"/>
    <w:rsid w:val="007079B7"/>
    <w:rsid w:val="007106A9"/>
    <w:rsid w:val="00711373"/>
    <w:rsid w:val="0071512C"/>
    <w:rsid w:val="00716DCE"/>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E1AE4"/>
    <w:rsid w:val="007E1E32"/>
    <w:rsid w:val="007E61FB"/>
    <w:rsid w:val="007F647D"/>
    <w:rsid w:val="00800372"/>
    <w:rsid w:val="00802462"/>
    <w:rsid w:val="008029AD"/>
    <w:rsid w:val="008047AE"/>
    <w:rsid w:val="00804CD1"/>
    <w:rsid w:val="008058AD"/>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95F"/>
    <w:rsid w:val="00871C22"/>
    <w:rsid w:val="008735BE"/>
    <w:rsid w:val="0088165A"/>
    <w:rsid w:val="00884F7A"/>
    <w:rsid w:val="00885DB6"/>
    <w:rsid w:val="00893827"/>
    <w:rsid w:val="008963F2"/>
    <w:rsid w:val="008A020F"/>
    <w:rsid w:val="008B10F4"/>
    <w:rsid w:val="008B1B9A"/>
    <w:rsid w:val="008B398D"/>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72C6"/>
    <w:rsid w:val="009729D7"/>
    <w:rsid w:val="00974566"/>
    <w:rsid w:val="0097673E"/>
    <w:rsid w:val="00981367"/>
    <w:rsid w:val="00982791"/>
    <w:rsid w:val="00983ED8"/>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07C7"/>
    <w:rsid w:val="00B016DD"/>
    <w:rsid w:val="00B01DD9"/>
    <w:rsid w:val="00B04F56"/>
    <w:rsid w:val="00B050BC"/>
    <w:rsid w:val="00B07CA7"/>
    <w:rsid w:val="00B07CCA"/>
    <w:rsid w:val="00B10624"/>
    <w:rsid w:val="00B108E1"/>
    <w:rsid w:val="00B208FE"/>
    <w:rsid w:val="00B23DD3"/>
    <w:rsid w:val="00B26E1F"/>
    <w:rsid w:val="00B34C5F"/>
    <w:rsid w:val="00B34CD2"/>
    <w:rsid w:val="00B4181B"/>
    <w:rsid w:val="00B429D3"/>
    <w:rsid w:val="00B432BD"/>
    <w:rsid w:val="00B433E9"/>
    <w:rsid w:val="00B439C0"/>
    <w:rsid w:val="00B44B1C"/>
    <w:rsid w:val="00B478E1"/>
    <w:rsid w:val="00B47934"/>
    <w:rsid w:val="00B542E2"/>
    <w:rsid w:val="00B56712"/>
    <w:rsid w:val="00B60E31"/>
    <w:rsid w:val="00B73835"/>
    <w:rsid w:val="00B770CB"/>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7D2F"/>
    <w:rsid w:val="00BF4E26"/>
    <w:rsid w:val="00BF4F45"/>
    <w:rsid w:val="00BF65AD"/>
    <w:rsid w:val="00C016E0"/>
    <w:rsid w:val="00C02D25"/>
    <w:rsid w:val="00C0360F"/>
    <w:rsid w:val="00C03A70"/>
    <w:rsid w:val="00C03AB3"/>
    <w:rsid w:val="00C10D1A"/>
    <w:rsid w:val="00C140B0"/>
    <w:rsid w:val="00C263BB"/>
    <w:rsid w:val="00C26BF3"/>
    <w:rsid w:val="00C27DBE"/>
    <w:rsid w:val="00C312C9"/>
    <w:rsid w:val="00C352AA"/>
    <w:rsid w:val="00C37C76"/>
    <w:rsid w:val="00C41441"/>
    <w:rsid w:val="00C53C3B"/>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2DDB"/>
    <w:rsid w:val="00CD3168"/>
    <w:rsid w:val="00CD48F6"/>
    <w:rsid w:val="00CF20FB"/>
    <w:rsid w:val="00CF2D94"/>
    <w:rsid w:val="00CF5E10"/>
    <w:rsid w:val="00D02C6D"/>
    <w:rsid w:val="00D05DDB"/>
    <w:rsid w:val="00D108ED"/>
    <w:rsid w:val="00D124C3"/>
    <w:rsid w:val="00D203BD"/>
    <w:rsid w:val="00D207BA"/>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2471"/>
    <w:rsid w:val="00E72AA1"/>
    <w:rsid w:val="00E82F64"/>
    <w:rsid w:val="00E84271"/>
    <w:rsid w:val="00E84E5E"/>
    <w:rsid w:val="00E918AD"/>
    <w:rsid w:val="00E91E3E"/>
    <w:rsid w:val="00E96274"/>
    <w:rsid w:val="00E96627"/>
    <w:rsid w:val="00E96894"/>
    <w:rsid w:val="00E96B94"/>
    <w:rsid w:val="00E96F28"/>
    <w:rsid w:val="00EA1BA1"/>
    <w:rsid w:val="00EA48DE"/>
    <w:rsid w:val="00EA4A14"/>
    <w:rsid w:val="00EA5BAA"/>
    <w:rsid w:val="00EB2564"/>
    <w:rsid w:val="00EB7241"/>
    <w:rsid w:val="00EB78C3"/>
    <w:rsid w:val="00EC0613"/>
    <w:rsid w:val="00EC0E28"/>
    <w:rsid w:val="00EC5433"/>
    <w:rsid w:val="00EC7915"/>
    <w:rsid w:val="00ED389B"/>
    <w:rsid w:val="00ED5DC0"/>
    <w:rsid w:val="00ED5F91"/>
    <w:rsid w:val="00ED79C3"/>
    <w:rsid w:val="00EE4A77"/>
    <w:rsid w:val="00EF001D"/>
    <w:rsid w:val="00EF1AEF"/>
    <w:rsid w:val="00EF648C"/>
    <w:rsid w:val="00F076F1"/>
    <w:rsid w:val="00F22264"/>
    <w:rsid w:val="00F23E6B"/>
    <w:rsid w:val="00F26F57"/>
    <w:rsid w:val="00F27397"/>
    <w:rsid w:val="00F3672C"/>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app" TargetMode="Externa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F3EB-AF8B-4756-A8B8-9EFDD26C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5287</Words>
  <Characters>30142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5</cp:revision>
  <cp:lastPrinted>2016-01-18T07:00:00Z</cp:lastPrinted>
  <dcterms:created xsi:type="dcterms:W3CDTF">2016-01-13T10:51:00Z</dcterms:created>
  <dcterms:modified xsi:type="dcterms:W3CDTF">2016-01-18T07:01:00Z</dcterms:modified>
</cp:coreProperties>
</file>