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1842EB" w:rsidRDefault="00222C58" w:rsidP="00222C58">
      <w:pPr>
        <w:jc w:val="center"/>
        <w:rPr>
          <w:rFonts w:ascii="Arial" w:hAnsi="Arial" w:cs="Arial"/>
          <w:sz w:val="24"/>
          <w:szCs w:val="24"/>
        </w:rPr>
      </w:pPr>
      <w:bookmarkStart w:id="0" w:name="_GoBack"/>
      <w:bookmarkEnd w:id="0"/>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D069DF" w:rsidRDefault="008A2098" w:rsidP="00222C58">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PROVIDING AMC SERVICES </w:t>
      </w:r>
      <w:r w:rsidR="00F0450E">
        <w:rPr>
          <w:rFonts w:ascii="Arial" w:hAnsi="Arial" w:cs="Arial"/>
          <w:bCs/>
          <w:sz w:val="28"/>
          <w:szCs w:val="28"/>
        </w:rPr>
        <w:t xml:space="preserve">OF </w:t>
      </w:r>
      <w:r>
        <w:rPr>
          <w:rFonts w:ascii="Arial" w:hAnsi="Arial" w:cs="Arial"/>
          <w:bCs/>
          <w:sz w:val="28"/>
          <w:szCs w:val="28"/>
        </w:rPr>
        <w:t>PMD EQUIPMENT</w:t>
      </w:r>
    </w:p>
    <w:p w:rsidR="00222C58" w:rsidRPr="000E099C" w:rsidRDefault="006E6B7F" w:rsidP="000E099C">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UNDER PAC BASIS </w:t>
      </w:r>
      <w:r w:rsidR="00166D9A">
        <w:rPr>
          <w:rFonts w:ascii="Arial" w:hAnsi="Arial" w:cs="Arial"/>
          <w:bCs/>
          <w:sz w:val="28"/>
          <w:szCs w:val="28"/>
        </w:rPr>
        <w:t xml:space="preserve">THROUGH </w:t>
      </w:r>
      <w:r w:rsidR="000341F6">
        <w:rPr>
          <w:rFonts w:ascii="Arial" w:hAnsi="Arial" w:cs="Arial"/>
          <w:bCs/>
          <w:sz w:val="28"/>
          <w:szCs w:val="28"/>
        </w:rPr>
        <w:t xml:space="preserve">M/S. </w:t>
      </w:r>
      <w:r w:rsidR="00BE2978">
        <w:rPr>
          <w:rFonts w:ascii="Arial" w:hAnsi="Arial" w:cs="Arial"/>
          <w:bCs/>
          <w:sz w:val="28"/>
          <w:szCs w:val="28"/>
        </w:rPr>
        <w:t>WATERS INDIA PVT. LTD.</w:t>
      </w:r>
      <w:r w:rsidR="007D74A8">
        <w:rPr>
          <w:rFonts w:ascii="Arial" w:hAnsi="Arial" w:cs="Arial"/>
          <w:bCs/>
          <w:sz w:val="28"/>
          <w:szCs w:val="28"/>
        </w:rPr>
        <w:t>, HYDERABAD</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7426C" w:rsidRPr="009C0008" w:rsidRDefault="0067426C" w:rsidP="0067426C">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67426C" w:rsidRPr="009C0008" w:rsidRDefault="0067426C" w:rsidP="0067426C">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67426C" w:rsidRPr="009C0008" w:rsidRDefault="0067426C" w:rsidP="00F73AD3">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67426C" w:rsidRPr="0051683B" w:rsidRDefault="0067426C" w:rsidP="00F73AD3">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3</w:t>
            </w:r>
          </w:p>
        </w:tc>
      </w:tr>
      <w:tr w:rsidR="00653DBC" w:rsidRPr="009C0008" w:rsidTr="00F73AD3">
        <w:trPr>
          <w:jc w:val="center"/>
        </w:trPr>
        <w:tc>
          <w:tcPr>
            <w:tcW w:w="1461" w:type="dxa"/>
          </w:tcPr>
          <w:p w:rsidR="00653DB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653DBC" w:rsidRPr="0051683B" w:rsidRDefault="00653DBC" w:rsidP="00F73AD3">
            <w:pPr>
              <w:spacing w:line="480" w:lineRule="auto"/>
              <w:rPr>
                <w:rFonts w:ascii="Times New Roman" w:hAnsi="Times New Roman"/>
                <w:sz w:val="24"/>
                <w:szCs w:val="24"/>
              </w:rPr>
            </w:pPr>
            <w:r>
              <w:rPr>
                <w:rFonts w:ascii="Times New Roman" w:hAnsi="Times New Roman"/>
                <w:sz w:val="24"/>
                <w:szCs w:val="24"/>
              </w:rPr>
              <w:t>Schedule of Requirement</w:t>
            </w:r>
          </w:p>
        </w:tc>
        <w:tc>
          <w:tcPr>
            <w:tcW w:w="1181" w:type="dxa"/>
          </w:tcPr>
          <w:p w:rsidR="00653DB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4</w:t>
            </w:r>
          </w:p>
        </w:tc>
      </w:tr>
      <w:tr w:rsidR="0067426C" w:rsidRPr="009C0008" w:rsidTr="00F73AD3">
        <w:trPr>
          <w:jc w:val="center"/>
        </w:trPr>
        <w:tc>
          <w:tcPr>
            <w:tcW w:w="1461" w:type="dxa"/>
          </w:tcPr>
          <w:p w:rsidR="0067426C" w:rsidRPr="009C0008" w:rsidRDefault="0067426C" w:rsidP="00F73AD3">
            <w:pPr>
              <w:spacing w:line="480" w:lineRule="auto"/>
              <w:jc w:val="center"/>
              <w:rPr>
                <w:rFonts w:ascii="Times New Roman" w:hAnsi="Times New Roman"/>
                <w:sz w:val="24"/>
                <w:szCs w:val="24"/>
              </w:rPr>
            </w:pPr>
            <w:r w:rsidRPr="009C0008">
              <w:rPr>
                <w:rFonts w:ascii="Times New Roman" w:hAnsi="Times New Roman"/>
                <w:sz w:val="24"/>
                <w:szCs w:val="24"/>
              </w:rPr>
              <w:t>II</w:t>
            </w:r>
            <w:r w:rsidR="00653DBC">
              <w:rPr>
                <w:rFonts w:ascii="Times New Roman" w:hAnsi="Times New Roman"/>
                <w:sz w:val="24"/>
                <w:szCs w:val="24"/>
              </w:rPr>
              <w:t>I</w:t>
            </w:r>
          </w:p>
        </w:tc>
        <w:tc>
          <w:tcPr>
            <w:tcW w:w="6934" w:type="dxa"/>
          </w:tcPr>
          <w:p w:rsidR="0067426C" w:rsidRPr="0051683B" w:rsidRDefault="0067426C" w:rsidP="00F73AD3">
            <w:pPr>
              <w:spacing w:line="480" w:lineRule="auto"/>
              <w:rPr>
                <w:rFonts w:ascii="Times New Roman" w:hAnsi="Times New Roman"/>
                <w:sz w:val="24"/>
                <w:szCs w:val="24"/>
              </w:rPr>
            </w:pPr>
            <w:r>
              <w:rPr>
                <w:rFonts w:ascii="Times New Roman" w:hAnsi="Times New Roman"/>
                <w:sz w:val="24"/>
                <w:szCs w:val="24"/>
              </w:rPr>
              <w:t>Scope of Work</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5</w:t>
            </w:r>
          </w:p>
        </w:tc>
      </w:tr>
      <w:tr w:rsidR="0067426C" w:rsidRPr="009C0008" w:rsidTr="00F73AD3">
        <w:trPr>
          <w:jc w:val="center"/>
        </w:trPr>
        <w:tc>
          <w:tcPr>
            <w:tcW w:w="1461" w:type="dxa"/>
          </w:tcPr>
          <w:p w:rsidR="0067426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I</w:t>
            </w:r>
            <w:r w:rsidR="0067426C">
              <w:rPr>
                <w:rFonts w:ascii="Times New Roman" w:hAnsi="Times New Roman"/>
                <w:sz w:val="24"/>
                <w:szCs w:val="24"/>
              </w:rPr>
              <w:t>V</w:t>
            </w:r>
          </w:p>
        </w:tc>
        <w:tc>
          <w:tcPr>
            <w:tcW w:w="6934" w:type="dxa"/>
          </w:tcPr>
          <w:p w:rsidR="0067426C" w:rsidRPr="0051683B" w:rsidRDefault="0067426C" w:rsidP="00F73AD3">
            <w:pPr>
              <w:spacing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6 to 9</w:t>
            </w:r>
          </w:p>
        </w:tc>
      </w:tr>
      <w:tr w:rsidR="0067426C" w:rsidRPr="009C0008" w:rsidTr="00F73AD3">
        <w:trPr>
          <w:jc w:val="center"/>
        </w:trPr>
        <w:tc>
          <w:tcPr>
            <w:tcW w:w="1461" w:type="dxa"/>
          </w:tcPr>
          <w:p w:rsidR="0067426C" w:rsidRPr="009C0008" w:rsidRDefault="00653DBC" w:rsidP="00F73AD3">
            <w:pPr>
              <w:spacing w:line="480" w:lineRule="auto"/>
              <w:jc w:val="center"/>
              <w:rPr>
                <w:rFonts w:ascii="Times New Roman" w:hAnsi="Times New Roman"/>
                <w:sz w:val="24"/>
                <w:szCs w:val="24"/>
              </w:rPr>
            </w:pPr>
            <w:r>
              <w:rPr>
                <w:rFonts w:ascii="Times New Roman" w:hAnsi="Times New Roman"/>
                <w:sz w:val="24"/>
                <w:szCs w:val="24"/>
              </w:rPr>
              <w:t>V</w:t>
            </w:r>
          </w:p>
        </w:tc>
        <w:tc>
          <w:tcPr>
            <w:tcW w:w="6934" w:type="dxa"/>
          </w:tcPr>
          <w:p w:rsidR="0067426C" w:rsidRPr="0051683B" w:rsidRDefault="0067426C" w:rsidP="00F73AD3">
            <w:pPr>
              <w:jc w:val="both"/>
              <w:rPr>
                <w:rFonts w:ascii="Times New Roman" w:hAnsi="Times New Roman"/>
                <w:sz w:val="24"/>
                <w:szCs w:val="24"/>
              </w:rPr>
            </w:pPr>
            <w:r w:rsidRPr="0051683B">
              <w:rPr>
                <w:rFonts w:ascii="Times New Roman" w:hAnsi="Times New Roman"/>
                <w:sz w:val="24"/>
                <w:szCs w:val="24"/>
              </w:rPr>
              <w:t xml:space="preserve">Standard Formats </w:t>
            </w:r>
          </w:p>
        </w:tc>
        <w:tc>
          <w:tcPr>
            <w:tcW w:w="1181" w:type="dxa"/>
          </w:tcPr>
          <w:p w:rsidR="0067426C" w:rsidRPr="009C0008" w:rsidRDefault="00F62BAA" w:rsidP="00F73AD3">
            <w:pPr>
              <w:spacing w:line="480" w:lineRule="auto"/>
              <w:jc w:val="center"/>
              <w:rPr>
                <w:rFonts w:ascii="Times New Roman" w:hAnsi="Times New Roman"/>
                <w:sz w:val="24"/>
                <w:szCs w:val="24"/>
              </w:rPr>
            </w:pPr>
            <w:r>
              <w:rPr>
                <w:rFonts w:ascii="Times New Roman" w:hAnsi="Times New Roman"/>
                <w:sz w:val="24"/>
                <w:szCs w:val="24"/>
              </w:rPr>
              <w:t>10-12</w:t>
            </w:r>
          </w:p>
        </w:tc>
      </w:tr>
      <w:tr w:rsidR="0067426C" w:rsidRPr="009C0008" w:rsidTr="00F73AD3">
        <w:trPr>
          <w:jc w:val="center"/>
        </w:trPr>
        <w:tc>
          <w:tcPr>
            <w:tcW w:w="1461" w:type="dxa"/>
          </w:tcPr>
          <w:p w:rsidR="0067426C" w:rsidRDefault="0067426C" w:rsidP="00653DBC">
            <w:pPr>
              <w:spacing w:line="480" w:lineRule="auto"/>
              <w:jc w:val="center"/>
              <w:rPr>
                <w:rFonts w:ascii="Times New Roman" w:hAnsi="Times New Roman"/>
                <w:sz w:val="24"/>
                <w:szCs w:val="24"/>
              </w:rPr>
            </w:pPr>
            <w:r>
              <w:rPr>
                <w:rFonts w:ascii="Times New Roman" w:hAnsi="Times New Roman"/>
                <w:sz w:val="24"/>
                <w:szCs w:val="24"/>
              </w:rPr>
              <w:t>VI</w:t>
            </w:r>
          </w:p>
        </w:tc>
        <w:tc>
          <w:tcPr>
            <w:tcW w:w="6934" w:type="dxa"/>
          </w:tcPr>
          <w:p w:rsidR="0067426C" w:rsidRPr="0051683B" w:rsidRDefault="0067426C" w:rsidP="00F73AD3">
            <w:pPr>
              <w:jc w:val="both"/>
              <w:rPr>
                <w:rFonts w:ascii="Times New Roman" w:hAnsi="Times New Roman"/>
                <w:sz w:val="24"/>
                <w:szCs w:val="24"/>
              </w:rPr>
            </w:pPr>
            <w:r>
              <w:rPr>
                <w:rFonts w:ascii="Times New Roman" w:hAnsi="Times New Roman"/>
                <w:sz w:val="24"/>
                <w:szCs w:val="24"/>
              </w:rPr>
              <w:t>Checklist</w:t>
            </w:r>
          </w:p>
        </w:tc>
        <w:tc>
          <w:tcPr>
            <w:tcW w:w="1181" w:type="dxa"/>
          </w:tcPr>
          <w:p w:rsidR="0067426C" w:rsidRDefault="00F62BAA" w:rsidP="00F73AD3">
            <w:pPr>
              <w:spacing w:line="480" w:lineRule="auto"/>
              <w:jc w:val="center"/>
              <w:rPr>
                <w:rFonts w:ascii="Times New Roman" w:hAnsi="Times New Roman"/>
                <w:sz w:val="24"/>
                <w:szCs w:val="24"/>
              </w:rPr>
            </w:pPr>
            <w:r>
              <w:rPr>
                <w:rFonts w:ascii="Times New Roman" w:hAnsi="Times New Roman"/>
                <w:sz w:val="24"/>
                <w:szCs w:val="24"/>
              </w:rPr>
              <w:t>13</w:t>
            </w:r>
          </w:p>
        </w:tc>
      </w:tr>
    </w:tbl>
    <w:p w:rsidR="0067426C" w:rsidRDefault="0067426C" w:rsidP="0067426C">
      <w:pPr>
        <w:spacing w:after="0" w:line="240" w:lineRule="auto"/>
        <w:rPr>
          <w:rFonts w:ascii="Times New Roman" w:hAnsi="Times New Roman" w:cs="Times New Roman"/>
          <w:b/>
          <w:u w:val="single"/>
        </w:rPr>
      </w:pPr>
    </w:p>
    <w:p w:rsidR="0067426C" w:rsidRDefault="006742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ट्रीयवनस्</w:t>
            </w:r>
            <w:r w:rsidRPr="00EC6D54">
              <w:rPr>
                <w:rFonts w:ascii="Times New Roman" w:hAnsi="Times New Roman" w:cs="Times New Roman"/>
                <w:szCs w:val="24"/>
                <w:cs/>
              </w:rPr>
              <w:t>‍</w:t>
            </w:r>
            <w:r w:rsidRPr="00EC6D54">
              <w:rPr>
                <w:rFonts w:ascii="Nirmala UI" w:hAnsi="Nirmala UI" w:cs="Nirmala UI" w:hint="cs"/>
                <w:szCs w:val="24"/>
                <w:cs/>
              </w:rPr>
              <w:t>पतिस्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यप्रबंधनसंस्</w:t>
            </w:r>
            <w:r w:rsidRPr="00EC6D54">
              <w:rPr>
                <w:rFonts w:ascii="Times New Roman" w:hAnsi="Times New Roman" w:cs="Times New Roman"/>
                <w:szCs w:val="24"/>
                <w:cs/>
              </w:rPr>
              <w:t>‍</w:t>
            </w:r>
            <w:r w:rsidRPr="00EC6D54">
              <w:rPr>
                <w:rFonts w:ascii="Nirmala UI" w:hAnsi="Nirmala UI" w:cs="Nirmala UI" w:hint="cs"/>
                <w:szCs w:val="24"/>
                <w:cs/>
              </w:rPr>
              <w:t>थान</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कृषिएवंसहकारिताविभाग</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कृषिएवंकिसानकल्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भारतसरकार</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5A199A" w:rsidP="00141DBD">
            <w:pPr>
              <w:spacing w:after="0" w:line="240" w:lineRule="auto"/>
              <w:ind w:right="-18"/>
              <w:jc w:val="center"/>
              <w:outlineLvl w:val="0"/>
              <w:rPr>
                <w:rFonts w:ascii="Times New Roman" w:hAnsi="Times New Roman" w:cs="Times New Roman"/>
                <w:sz w:val="24"/>
                <w:szCs w:val="24"/>
              </w:rPr>
            </w:pPr>
            <w:hyperlink r:id="rId12"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F.No.</w:t>
      </w:r>
      <w:r w:rsidR="00AF79F1">
        <w:rPr>
          <w:rFonts w:ascii="Times New Roman" w:hAnsi="Times New Roman" w:cs="Times New Roman"/>
          <w:bCs/>
          <w:sz w:val="24"/>
          <w:szCs w:val="24"/>
        </w:rPr>
        <w:t>PROCO</w:t>
      </w:r>
      <w:r w:rsidR="007D74A8">
        <w:rPr>
          <w:rFonts w:ascii="Times New Roman" w:hAnsi="Times New Roman" w:cs="Times New Roman"/>
          <w:bCs/>
          <w:sz w:val="24"/>
          <w:szCs w:val="24"/>
        </w:rPr>
        <w:t>REPA</w:t>
      </w:r>
      <w:r w:rsidR="00AF79F1">
        <w:rPr>
          <w:rFonts w:ascii="Times New Roman" w:hAnsi="Times New Roman" w:cs="Times New Roman"/>
          <w:bCs/>
          <w:sz w:val="24"/>
          <w:szCs w:val="24"/>
        </w:rPr>
        <w:t>/1/2020-SO RNMA</w:t>
      </w:r>
      <w:r w:rsidR="007D74A8">
        <w:rPr>
          <w:rFonts w:ascii="Times New Roman" w:hAnsi="Times New Roman" w:cs="Times New Roman"/>
          <w:bCs/>
          <w:sz w:val="24"/>
          <w:szCs w:val="24"/>
        </w:rPr>
        <w:t>2</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7D74A8">
        <w:rPr>
          <w:rFonts w:ascii="Times New Roman" w:hAnsi="Times New Roman" w:cs="Times New Roman"/>
          <w:bCs/>
          <w:sz w:val="24"/>
          <w:szCs w:val="24"/>
        </w:rPr>
        <w:t>August 5,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DF61A8"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C230FB">
      <w:pPr>
        <w:pStyle w:val="ListParagraph"/>
        <w:numPr>
          <w:ilvl w:val="0"/>
          <w:numId w:val="6"/>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C230FB">
      <w:pPr>
        <w:pStyle w:val="ListParagraph"/>
        <w:numPr>
          <w:ilvl w:val="0"/>
          <w:numId w:val="6"/>
        </w:numPr>
        <w:ind w:left="1134" w:hanging="708"/>
        <w:jc w:val="both"/>
        <w:rPr>
          <w:rFonts w:ascii="Times New Roman" w:hAnsi="Times New Roman"/>
        </w:rPr>
      </w:pPr>
      <w:r w:rsidRPr="00686510">
        <w:rPr>
          <w:rFonts w:ascii="Times New Roman" w:hAnsi="Times New Roman"/>
          <w:lang w:val="en-IN"/>
        </w:rPr>
        <w:t xml:space="preserve">NIPHM intends </w:t>
      </w:r>
      <w:r w:rsidR="008A7909" w:rsidRPr="008A7909">
        <w:rPr>
          <w:rFonts w:ascii="Times New Roman" w:hAnsi="Times New Roman"/>
          <w:b/>
          <w:lang w:val="en-IN"/>
        </w:rPr>
        <w:t xml:space="preserve">for providing AMC Services for a period of </w:t>
      </w:r>
      <w:r w:rsidR="002B3703">
        <w:rPr>
          <w:rFonts w:ascii="Times New Roman" w:hAnsi="Times New Roman"/>
          <w:b/>
          <w:lang w:val="en-IN"/>
        </w:rPr>
        <w:t xml:space="preserve">TWO </w:t>
      </w:r>
      <w:r w:rsidR="008A7909" w:rsidRPr="008A7909">
        <w:rPr>
          <w:rFonts w:ascii="Times New Roman" w:hAnsi="Times New Roman"/>
          <w:b/>
          <w:lang w:val="en-IN"/>
        </w:rPr>
        <w:t xml:space="preserve">years commencing from  </w:t>
      </w:r>
      <w:r w:rsidR="002B3703">
        <w:rPr>
          <w:rFonts w:ascii="Times New Roman" w:hAnsi="Times New Roman"/>
          <w:b/>
          <w:lang w:val="en-IN"/>
        </w:rPr>
        <w:t>01</w:t>
      </w:r>
      <w:r w:rsidR="008A7909" w:rsidRPr="008A7909">
        <w:rPr>
          <w:rFonts w:ascii="Times New Roman" w:hAnsi="Times New Roman"/>
          <w:b/>
          <w:lang w:val="en-IN"/>
        </w:rPr>
        <w:t>/0</w:t>
      </w:r>
      <w:r w:rsidR="002B3703">
        <w:rPr>
          <w:rFonts w:ascii="Times New Roman" w:hAnsi="Times New Roman"/>
          <w:b/>
          <w:lang w:val="en-IN"/>
        </w:rPr>
        <w:t>7</w:t>
      </w:r>
      <w:r w:rsidR="008A7909" w:rsidRPr="008A7909">
        <w:rPr>
          <w:rFonts w:ascii="Times New Roman" w:hAnsi="Times New Roman"/>
          <w:b/>
          <w:lang w:val="en-IN"/>
        </w:rPr>
        <w:t xml:space="preserve">/2021 to </w:t>
      </w:r>
      <w:r w:rsidR="002B3703">
        <w:rPr>
          <w:rFonts w:ascii="Times New Roman" w:hAnsi="Times New Roman"/>
          <w:b/>
          <w:lang w:val="en-IN"/>
        </w:rPr>
        <w:t>30</w:t>
      </w:r>
      <w:r w:rsidR="008A7909" w:rsidRPr="008A7909">
        <w:rPr>
          <w:rFonts w:ascii="Times New Roman" w:hAnsi="Times New Roman"/>
          <w:b/>
          <w:lang w:val="en-IN"/>
        </w:rPr>
        <w:t>/0</w:t>
      </w:r>
      <w:r w:rsidR="002B3703">
        <w:rPr>
          <w:rFonts w:ascii="Times New Roman" w:hAnsi="Times New Roman"/>
          <w:b/>
          <w:lang w:val="en-IN"/>
        </w:rPr>
        <w:t>6</w:t>
      </w:r>
      <w:r w:rsidR="008A7909" w:rsidRPr="008A7909">
        <w:rPr>
          <w:rFonts w:ascii="Times New Roman" w:hAnsi="Times New Roman"/>
          <w:b/>
          <w:lang w:val="en-IN"/>
        </w:rPr>
        <w:t>/202</w:t>
      </w:r>
      <w:r w:rsidR="002B3703">
        <w:rPr>
          <w:rFonts w:ascii="Times New Roman" w:hAnsi="Times New Roman"/>
          <w:b/>
          <w:lang w:val="en-IN"/>
        </w:rPr>
        <w:t>3</w:t>
      </w:r>
      <w:r w:rsidR="006438FC">
        <w:rPr>
          <w:rFonts w:ascii="Times New Roman" w:hAnsi="Times New Roman"/>
          <w:b/>
          <w:lang w:val="en-IN"/>
        </w:rPr>
        <w:t xml:space="preserve"> </w:t>
      </w:r>
      <w:r w:rsidR="00852D1C">
        <w:rPr>
          <w:rFonts w:ascii="Times New Roman" w:hAnsi="Times New Roman"/>
          <w:lang w:val="en-IN"/>
        </w:rPr>
        <w:t xml:space="preserve">for the following equipment </w:t>
      </w:r>
      <w:r w:rsidRPr="00EC6A5F">
        <w:rPr>
          <w:rFonts w:ascii="Times New Roman" w:hAnsi="Times New Roman"/>
          <w:lang w:val="en-IN"/>
        </w:rPr>
        <w:t xml:space="preserve">through Single Tender </w:t>
      </w:r>
      <w:r w:rsidR="00531A4F" w:rsidRPr="00EC6A5F">
        <w:rPr>
          <w:rFonts w:ascii="Times New Roman" w:hAnsi="Times New Roman"/>
          <w:lang w:val="en-IN"/>
        </w:rPr>
        <w:t xml:space="preserve">(PAC </w:t>
      </w:r>
      <w:r w:rsidRPr="00EC6A5F">
        <w:rPr>
          <w:rFonts w:ascii="Times New Roman" w:hAnsi="Times New Roman"/>
          <w:lang w:val="en-IN"/>
        </w:rPr>
        <w:t>basis</w:t>
      </w:r>
      <w:r w:rsidR="00531A4F" w:rsidRPr="00EC6A5F">
        <w:rPr>
          <w:rFonts w:ascii="Times New Roman" w:hAnsi="Times New Roman"/>
          <w:lang w:val="en-IN"/>
        </w:rPr>
        <w:t>)</w:t>
      </w:r>
      <w:r w:rsidR="00852D1C" w:rsidRPr="00EC6A5F">
        <w:rPr>
          <w:rFonts w:ascii="Times New Roman" w:hAnsi="Times New Roman"/>
          <w:lang w:val="en-IN"/>
        </w:rPr>
        <w:t xml:space="preserve"> from M/s. </w:t>
      </w:r>
      <w:r w:rsidR="00EC6A5F" w:rsidRPr="00EC6A5F">
        <w:rPr>
          <w:rFonts w:ascii="Times New Roman" w:hAnsi="Times New Roman"/>
          <w:lang w:val="en-IN"/>
        </w:rPr>
        <w:t>Waters India Pvt. Ltd., H. No. 1-8-437,438, 364 &amp; 445</w:t>
      </w:r>
      <w:r w:rsidR="00EC6A5F">
        <w:rPr>
          <w:rFonts w:ascii="Times New Roman" w:hAnsi="Times New Roman"/>
          <w:lang w:val="en-IN"/>
        </w:rPr>
        <w:t>, Splendid Towers, 5</w:t>
      </w:r>
      <w:r w:rsidR="00EC6A5F" w:rsidRPr="00EC6A5F">
        <w:rPr>
          <w:rFonts w:ascii="Times New Roman" w:hAnsi="Times New Roman"/>
          <w:vertAlign w:val="superscript"/>
          <w:lang w:val="en-IN"/>
        </w:rPr>
        <w:t>th</w:t>
      </w:r>
      <w:r w:rsidR="00EC6A5F">
        <w:rPr>
          <w:rFonts w:ascii="Times New Roman" w:hAnsi="Times New Roman"/>
          <w:lang w:val="en-IN"/>
        </w:rPr>
        <w:t xml:space="preserve"> Floor, S.P. Road, Begumpet</w:t>
      </w:r>
      <w:r w:rsidR="00CE14A5">
        <w:rPr>
          <w:rFonts w:ascii="Times New Roman" w:hAnsi="Times New Roman"/>
          <w:b/>
          <w:lang w:val="en-IN"/>
        </w:rPr>
        <w:t>:-</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tblPr>
      <w:tblGrid>
        <w:gridCol w:w="1014"/>
        <w:gridCol w:w="6074"/>
        <w:gridCol w:w="1276"/>
      </w:tblGrid>
      <w:tr w:rsidR="006C6E92" w:rsidRPr="00686510" w:rsidTr="007E11FC">
        <w:tc>
          <w:tcPr>
            <w:tcW w:w="101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Sl. No.</w:t>
            </w:r>
          </w:p>
        </w:tc>
        <w:tc>
          <w:tcPr>
            <w:tcW w:w="607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Quantity</w:t>
            </w:r>
          </w:p>
        </w:tc>
      </w:tr>
      <w:tr w:rsidR="006C6E92" w:rsidRPr="00686510" w:rsidTr="007E11FC">
        <w:tc>
          <w:tcPr>
            <w:tcW w:w="1014" w:type="dxa"/>
          </w:tcPr>
          <w:p w:rsidR="006C6E92" w:rsidRPr="00686510" w:rsidRDefault="006C6E92" w:rsidP="00C230FB">
            <w:pPr>
              <w:pStyle w:val="NoSpacing"/>
              <w:numPr>
                <w:ilvl w:val="0"/>
                <w:numId w:val="5"/>
              </w:numPr>
              <w:rPr>
                <w:rFonts w:ascii="Times New Roman" w:hAnsi="Times New Roman"/>
              </w:rPr>
            </w:pPr>
          </w:p>
        </w:tc>
        <w:tc>
          <w:tcPr>
            <w:tcW w:w="6074" w:type="dxa"/>
          </w:tcPr>
          <w:p w:rsidR="008A7909" w:rsidRPr="00FE1045" w:rsidRDefault="00DD44E4" w:rsidP="008A7909">
            <w:pPr>
              <w:pStyle w:val="NoSpacing"/>
              <w:jc w:val="both"/>
              <w:rPr>
                <w:rFonts w:ascii="Times New Roman" w:hAnsi="Times New Roman"/>
                <w:lang w:val="en-IN"/>
              </w:rPr>
            </w:pPr>
            <w:r w:rsidRPr="00FE1045">
              <w:rPr>
                <w:rFonts w:ascii="Times New Roman" w:hAnsi="Times New Roman"/>
                <w:lang w:val="en-IN"/>
              </w:rPr>
              <w:t>LC</w:t>
            </w:r>
            <w:r w:rsidR="003171F5" w:rsidRPr="00FE1045">
              <w:rPr>
                <w:rFonts w:ascii="Times New Roman" w:hAnsi="Times New Roman"/>
                <w:lang w:val="en-IN"/>
              </w:rPr>
              <w:t xml:space="preserve">-MS/MS </w:t>
            </w:r>
          </w:p>
        </w:tc>
        <w:tc>
          <w:tcPr>
            <w:tcW w:w="1276" w:type="dxa"/>
          </w:tcPr>
          <w:p w:rsidR="006C6E92" w:rsidRPr="00825BDE" w:rsidRDefault="003171F5" w:rsidP="00257936">
            <w:pPr>
              <w:pStyle w:val="NoSpacing"/>
              <w:jc w:val="center"/>
              <w:rPr>
                <w:rFonts w:ascii="Times New Roman" w:hAnsi="Times New Roman"/>
                <w:szCs w:val="22"/>
              </w:rPr>
            </w:pPr>
            <w:r>
              <w:rPr>
                <w:rFonts w:ascii="Times New Roman" w:hAnsi="Times New Roman"/>
              </w:rPr>
              <w:t>2</w:t>
            </w:r>
          </w:p>
        </w:tc>
      </w:tr>
      <w:tr w:rsidR="003171F5" w:rsidRPr="00686510" w:rsidTr="007E11FC">
        <w:tc>
          <w:tcPr>
            <w:tcW w:w="1014" w:type="dxa"/>
          </w:tcPr>
          <w:p w:rsidR="003171F5" w:rsidRPr="00686510" w:rsidRDefault="003171F5" w:rsidP="00C230FB">
            <w:pPr>
              <w:pStyle w:val="NoSpacing"/>
              <w:numPr>
                <w:ilvl w:val="0"/>
                <w:numId w:val="5"/>
              </w:numPr>
              <w:rPr>
                <w:rFonts w:ascii="Times New Roman" w:hAnsi="Times New Roman"/>
              </w:rPr>
            </w:pPr>
          </w:p>
        </w:tc>
        <w:tc>
          <w:tcPr>
            <w:tcW w:w="6074" w:type="dxa"/>
          </w:tcPr>
          <w:p w:rsidR="003171F5" w:rsidRPr="00FE1045" w:rsidRDefault="003171F5" w:rsidP="008A7909">
            <w:pPr>
              <w:pStyle w:val="NoSpacing"/>
              <w:jc w:val="both"/>
              <w:rPr>
                <w:rFonts w:ascii="Times New Roman" w:hAnsi="Times New Roman"/>
                <w:lang w:val="en-IN"/>
              </w:rPr>
            </w:pPr>
            <w:r w:rsidRPr="00FE1045">
              <w:rPr>
                <w:rFonts w:ascii="Times New Roman" w:hAnsi="Times New Roman"/>
                <w:lang w:val="en-IN"/>
              </w:rPr>
              <w:t xml:space="preserve">HPLC-PDA </w:t>
            </w:r>
          </w:p>
        </w:tc>
        <w:tc>
          <w:tcPr>
            <w:tcW w:w="1276" w:type="dxa"/>
          </w:tcPr>
          <w:p w:rsidR="003171F5" w:rsidRDefault="003171F5" w:rsidP="00257936">
            <w:pPr>
              <w:pStyle w:val="NoSpacing"/>
              <w:jc w:val="center"/>
              <w:rPr>
                <w:rFonts w:ascii="Times New Roman" w:hAnsi="Times New Roman"/>
              </w:rPr>
            </w:pPr>
            <w:r>
              <w:rPr>
                <w:rFonts w:ascii="Times New Roman" w:hAnsi="Times New Roman"/>
              </w:rPr>
              <w:t>1</w:t>
            </w:r>
          </w:p>
        </w:tc>
      </w:tr>
      <w:tr w:rsidR="003171F5" w:rsidRPr="00686510" w:rsidTr="007E11FC">
        <w:tc>
          <w:tcPr>
            <w:tcW w:w="1014" w:type="dxa"/>
          </w:tcPr>
          <w:p w:rsidR="003171F5" w:rsidRPr="00686510" w:rsidRDefault="003171F5" w:rsidP="00C230FB">
            <w:pPr>
              <w:pStyle w:val="NoSpacing"/>
              <w:numPr>
                <w:ilvl w:val="0"/>
                <w:numId w:val="5"/>
              </w:numPr>
              <w:rPr>
                <w:rFonts w:ascii="Times New Roman" w:hAnsi="Times New Roman"/>
              </w:rPr>
            </w:pPr>
          </w:p>
        </w:tc>
        <w:tc>
          <w:tcPr>
            <w:tcW w:w="6074" w:type="dxa"/>
          </w:tcPr>
          <w:p w:rsidR="003171F5" w:rsidRPr="00FE1045" w:rsidRDefault="003171F5" w:rsidP="008A7909">
            <w:pPr>
              <w:pStyle w:val="NoSpacing"/>
              <w:jc w:val="both"/>
              <w:rPr>
                <w:rFonts w:ascii="Times New Roman" w:hAnsi="Times New Roman"/>
                <w:lang w:val="en-IN"/>
              </w:rPr>
            </w:pPr>
            <w:r w:rsidRPr="00FE1045">
              <w:rPr>
                <w:rFonts w:ascii="Times New Roman" w:hAnsi="Times New Roman"/>
                <w:lang w:val="en-IN"/>
              </w:rPr>
              <w:t>HPLC-UV-VIS</w:t>
            </w:r>
          </w:p>
        </w:tc>
        <w:tc>
          <w:tcPr>
            <w:tcW w:w="1276" w:type="dxa"/>
          </w:tcPr>
          <w:p w:rsidR="003171F5" w:rsidRDefault="003171F5" w:rsidP="00257936">
            <w:pPr>
              <w:pStyle w:val="NoSpacing"/>
              <w:jc w:val="center"/>
              <w:rPr>
                <w:rFonts w:ascii="Times New Roman" w:hAnsi="Times New Roman"/>
              </w:rPr>
            </w:pPr>
            <w:r>
              <w:rPr>
                <w:rFonts w:ascii="Times New Roman" w:hAnsi="Times New Roman"/>
              </w:rPr>
              <w:t>1</w:t>
            </w:r>
          </w:p>
        </w:tc>
      </w:tr>
    </w:tbl>
    <w:p w:rsidR="00783510" w:rsidRPr="00783510" w:rsidRDefault="00783510" w:rsidP="00783510">
      <w:pPr>
        <w:pStyle w:val="ListParagraph"/>
        <w:ind w:left="1134"/>
        <w:jc w:val="both"/>
        <w:rPr>
          <w:rFonts w:ascii="Times New Roman" w:hAnsi="Times New Roman"/>
          <w:color w:val="FF0000"/>
          <w:lang w:val="en-IN"/>
        </w:rPr>
      </w:pP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color w:val="FF0000"/>
          <w:sz w:val="22"/>
          <w:szCs w:val="22"/>
          <w:lang w:val="en-IN"/>
        </w:rPr>
        <w:t>GST Exemption Certificate is NOT APPLICABLE for this Institute. Please submit your quotation with applicable GST percentage (%).</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171D32">
        <w:rPr>
          <w:rFonts w:ascii="Times New Roman" w:hAnsi="Times New Roman"/>
          <w:color w:val="FF0000"/>
          <w:highlight w:val="yellow"/>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sz w:val="22"/>
          <w:szCs w:val="22"/>
        </w:rPr>
        <w:t xml:space="preserve">Tender document is available for viewing on the website of NIPHM, Hyderabad at </w:t>
      </w:r>
      <w:hyperlink r:id="rId13" w:history="1">
        <w:r w:rsidRPr="00D82147">
          <w:rPr>
            <w:rStyle w:val="Hyperlink"/>
            <w:rFonts w:ascii="Times New Roman" w:hAnsi="Times New Roman"/>
            <w:sz w:val="22"/>
            <w:szCs w:val="22"/>
          </w:rPr>
          <w:t>www.niphm.gov.in</w:t>
        </w:r>
      </w:hyperlink>
      <w:r w:rsidRPr="00D82147">
        <w:rPr>
          <w:rFonts w:ascii="Times New Roman" w:hAnsi="Times New Roman"/>
          <w:sz w:val="22"/>
          <w:szCs w:val="22"/>
        </w:rPr>
        <w:t>.</w:t>
      </w:r>
    </w:p>
    <w:p w:rsidR="0067426C" w:rsidRPr="00D82147" w:rsidRDefault="0067426C" w:rsidP="0067426C">
      <w:pPr>
        <w:pStyle w:val="ListParagraph"/>
        <w:numPr>
          <w:ilvl w:val="0"/>
          <w:numId w:val="6"/>
        </w:numPr>
        <w:ind w:left="1134" w:hanging="708"/>
        <w:jc w:val="both"/>
        <w:rPr>
          <w:rFonts w:ascii="Times New Roman" w:hAnsi="Times New Roman"/>
          <w:color w:val="FF0000"/>
          <w:sz w:val="22"/>
          <w:szCs w:val="22"/>
          <w:lang w:val="en-IN"/>
        </w:rPr>
      </w:pPr>
      <w:r w:rsidRPr="00D82147">
        <w:rPr>
          <w:rFonts w:ascii="Times New Roman" w:hAnsi="Times New Roman"/>
          <w:b/>
          <w:sz w:val="22"/>
          <w:szCs w:val="22"/>
        </w:rPr>
        <w:t xml:space="preserve">Last date of receipt of bid along with quotation is </w:t>
      </w:r>
      <w:r w:rsidR="00AA4A1A" w:rsidRPr="00344D78">
        <w:rPr>
          <w:rFonts w:ascii="Times New Roman" w:hAnsi="Times New Roman"/>
          <w:b/>
          <w:sz w:val="22"/>
          <w:szCs w:val="22"/>
          <w:u w:val="single"/>
        </w:rPr>
        <w:t>02/09/2021</w:t>
      </w:r>
    </w:p>
    <w:p w:rsidR="00317372" w:rsidRPr="0067426C" w:rsidRDefault="00317372" w:rsidP="0067426C">
      <w:pPr>
        <w:ind w:left="426"/>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6807DD" w:rsidP="00755C1E">
      <w:pPr>
        <w:pStyle w:val="NoSpacing"/>
        <w:jc w:val="right"/>
        <w:rPr>
          <w:rFonts w:ascii="Times New Roman" w:hAnsi="Times New Roman"/>
          <w:lang w:val="en-US" w:eastAsia="en-US"/>
        </w:rPr>
      </w:pPr>
      <w:r>
        <w:rPr>
          <w:rFonts w:ascii="Times New Roman" w:hAnsi="Times New Roman"/>
          <w:lang w:val="en-US" w:eastAsia="en-US"/>
        </w:rPr>
        <w:t>REGISTRAR</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EE65A8" w:rsidRPr="001A039D" w:rsidRDefault="00DD5552" w:rsidP="00EE65A8">
      <w:pPr>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SECTION-II</w:t>
      </w:r>
      <w:r w:rsidR="00D4325B">
        <w:rPr>
          <w:rFonts w:ascii="Times New Roman" w:hAnsi="Times New Roman"/>
          <w:b/>
          <w:sz w:val="24"/>
          <w:szCs w:val="24"/>
          <w:u w:val="single"/>
          <w:lang w:val="en-IN"/>
        </w:rPr>
        <w:t xml:space="preserve">: </w:t>
      </w:r>
      <w:r w:rsidR="00EE65A8" w:rsidRPr="001A039D">
        <w:rPr>
          <w:rFonts w:ascii="Times New Roman" w:hAnsi="Times New Roman"/>
          <w:b/>
          <w:sz w:val="24"/>
          <w:szCs w:val="24"/>
          <w:u w:val="single"/>
          <w:lang w:val="en-IN"/>
        </w:rPr>
        <w:t>SCHEDULE OF REQUIREMENT</w:t>
      </w:r>
    </w:p>
    <w:p w:rsidR="00F967E8" w:rsidRPr="00655C4D" w:rsidRDefault="00281C1F" w:rsidP="00655C4D">
      <w:pPr>
        <w:jc w:val="both"/>
        <w:rPr>
          <w:rFonts w:ascii="Times New Roman" w:hAnsi="Times New Roman"/>
        </w:rPr>
      </w:pPr>
      <w:r w:rsidRPr="00623550">
        <w:rPr>
          <w:rFonts w:ascii="Times New Roman" w:hAnsi="Times New Roman"/>
          <w:lang w:val="en-IN"/>
        </w:rPr>
        <w:t xml:space="preserve">Providing AMC Services for a period of </w:t>
      </w:r>
      <w:r w:rsidR="00F33648">
        <w:rPr>
          <w:rFonts w:ascii="Times New Roman" w:hAnsi="Times New Roman"/>
          <w:lang w:val="en-IN"/>
        </w:rPr>
        <w:t xml:space="preserve">TWO </w:t>
      </w:r>
      <w:r w:rsidRPr="00623550">
        <w:rPr>
          <w:rFonts w:ascii="Times New Roman" w:hAnsi="Times New Roman"/>
          <w:lang w:val="en-IN"/>
        </w:rPr>
        <w:t xml:space="preserve"> years commencing </w:t>
      </w:r>
      <w:r w:rsidRPr="00F13CA8">
        <w:rPr>
          <w:rFonts w:ascii="Times New Roman" w:hAnsi="Times New Roman"/>
          <w:b/>
          <w:lang w:val="en-IN"/>
        </w:rPr>
        <w:t>from  01/0</w:t>
      </w:r>
      <w:r w:rsidR="00F33648">
        <w:rPr>
          <w:rFonts w:ascii="Times New Roman" w:hAnsi="Times New Roman"/>
          <w:b/>
          <w:lang w:val="en-IN"/>
        </w:rPr>
        <w:t>7</w:t>
      </w:r>
      <w:r w:rsidRPr="00F13CA8">
        <w:rPr>
          <w:rFonts w:ascii="Times New Roman" w:hAnsi="Times New Roman"/>
          <w:b/>
          <w:lang w:val="en-IN"/>
        </w:rPr>
        <w:t xml:space="preserve">/2021 to </w:t>
      </w:r>
      <w:r w:rsidR="00F33648">
        <w:rPr>
          <w:rFonts w:ascii="Times New Roman" w:hAnsi="Times New Roman"/>
          <w:b/>
          <w:lang w:val="en-IN"/>
        </w:rPr>
        <w:t>30</w:t>
      </w:r>
      <w:r w:rsidRPr="00F13CA8">
        <w:rPr>
          <w:rFonts w:ascii="Times New Roman" w:hAnsi="Times New Roman"/>
          <w:b/>
          <w:lang w:val="en-IN"/>
        </w:rPr>
        <w:t>/0</w:t>
      </w:r>
      <w:r w:rsidR="00F33648">
        <w:rPr>
          <w:rFonts w:ascii="Times New Roman" w:hAnsi="Times New Roman"/>
          <w:b/>
          <w:lang w:val="en-IN"/>
        </w:rPr>
        <w:t>6</w:t>
      </w:r>
      <w:r w:rsidRPr="00F13CA8">
        <w:rPr>
          <w:rFonts w:ascii="Times New Roman" w:hAnsi="Times New Roman"/>
          <w:b/>
          <w:lang w:val="en-IN"/>
        </w:rPr>
        <w:t>/202</w:t>
      </w:r>
      <w:r w:rsidR="00F33648">
        <w:rPr>
          <w:rFonts w:ascii="Times New Roman" w:hAnsi="Times New Roman"/>
          <w:b/>
          <w:lang w:val="en-IN"/>
        </w:rPr>
        <w:t>3</w:t>
      </w:r>
      <w:r w:rsidR="00EE65A8" w:rsidRPr="00655C4D">
        <w:rPr>
          <w:rFonts w:ascii="Times New Roman" w:hAnsi="Times New Roman"/>
          <w:sz w:val="24"/>
          <w:szCs w:val="24"/>
          <w:lang w:val="en-IN"/>
        </w:rPr>
        <w:t xml:space="preserve">for the following equipment </w:t>
      </w:r>
      <w:r w:rsidR="00EE65A8" w:rsidRPr="00655C4D">
        <w:rPr>
          <w:rFonts w:ascii="Times New Roman" w:hAnsi="Times New Roman"/>
          <w:b/>
          <w:sz w:val="24"/>
          <w:szCs w:val="24"/>
          <w:lang w:val="en-IN"/>
        </w:rPr>
        <w:t xml:space="preserve">through Single Tender (PAC basis) </w:t>
      </w:r>
      <w:r w:rsidR="00F967E8" w:rsidRPr="00655C4D">
        <w:rPr>
          <w:rFonts w:ascii="Times New Roman" w:hAnsi="Times New Roman"/>
          <w:b/>
          <w:lang w:val="en-IN"/>
        </w:rPr>
        <w:t>from M/s.</w:t>
      </w:r>
      <w:r w:rsidR="00F33648" w:rsidRPr="00EC6A5F">
        <w:rPr>
          <w:rFonts w:ascii="Times New Roman" w:hAnsi="Times New Roman"/>
          <w:lang w:val="en-IN"/>
        </w:rPr>
        <w:t>Waters India Pvt. Ltd., H. No. 1-8-437,438, 364 &amp; 445</w:t>
      </w:r>
      <w:r w:rsidR="00F33648">
        <w:rPr>
          <w:rFonts w:ascii="Times New Roman" w:hAnsi="Times New Roman"/>
          <w:lang w:val="en-IN"/>
        </w:rPr>
        <w:t>, Splendid Towers, 5</w:t>
      </w:r>
      <w:r w:rsidR="00F33648" w:rsidRPr="00EC6A5F">
        <w:rPr>
          <w:rFonts w:ascii="Times New Roman" w:hAnsi="Times New Roman"/>
          <w:vertAlign w:val="superscript"/>
          <w:lang w:val="en-IN"/>
        </w:rPr>
        <w:t>th</w:t>
      </w:r>
      <w:r w:rsidR="00F33648">
        <w:rPr>
          <w:rFonts w:ascii="Times New Roman" w:hAnsi="Times New Roman"/>
          <w:lang w:val="en-IN"/>
        </w:rPr>
        <w:t xml:space="preserve"> Floor, S.P. Road, Begumpet</w:t>
      </w:r>
      <w:r w:rsidR="00F967E8" w:rsidRPr="00655C4D">
        <w:rPr>
          <w:rFonts w:ascii="Times New Roman" w:hAnsi="Times New Roman"/>
          <w:b/>
          <w:lang w:val="en-IN"/>
        </w:rPr>
        <w:t>:-</w:t>
      </w:r>
    </w:p>
    <w:tbl>
      <w:tblPr>
        <w:tblStyle w:val="TableGrid"/>
        <w:tblW w:w="0" w:type="auto"/>
        <w:tblInd w:w="108" w:type="dxa"/>
        <w:tblLook w:val="04A0"/>
      </w:tblPr>
      <w:tblGrid>
        <w:gridCol w:w="1276"/>
        <w:gridCol w:w="6946"/>
        <w:gridCol w:w="1276"/>
      </w:tblGrid>
      <w:tr w:rsidR="00EE65A8" w:rsidRPr="001A039D" w:rsidTr="00BC6297">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Sl. No.</w:t>
            </w:r>
          </w:p>
        </w:tc>
        <w:tc>
          <w:tcPr>
            <w:tcW w:w="694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Name of the item</w:t>
            </w:r>
          </w:p>
        </w:tc>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Quantity</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 xml:space="preserve">LC-MS/MS </w:t>
            </w:r>
          </w:p>
        </w:tc>
        <w:tc>
          <w:tcPr>
            <w:tcW w:w="1276" w:type="dxa"/>
          </w:tcPr>
          <w:p w:rsidR="00F33648" w:rsidRPr="00825BDE" w:rsidRDefault="00F33648" w:rsidP="00F73AD3">
            <w:pPr>
              <w:pStyle w:val="NoSpacing"/>
              <w:jc w:val="center"/>
              <w:rPr>
                <w:rFonts w:ascii="Times New Roman" w:hAnsi="Times New Roman"/>
                <w:szCs w:val="22"/>
              </w:rPr>
            </w:pPr>
            <w:r>
              <w:rPr>
                <w:rFonts w:ascii="Times New Roman" w:hAnsi="Times New Roman"/>
              </w:rPr>
              <w:t>2</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 xml:space="preserve">HPLC-PDA </w:t>
            </w:r>
          </w:p>
        </w:tc>
        <w:tc>
          <w:tcPr>
            <w:tcW w:w="1276" w:type="dxa"/>
          </w:tcPr>
          <w:p w:rsidR="00F33648" w:rsidRDefault="00F33648" w:rsidP="00F73AD3">
            <w:pPr>
              <w:pStyle w:val="NoSpacing"/>
              <w:jc w:val="center"/>
              <w:rPr>
                <w:rFonts w:ascii="Times New Roman" w:hAnsi="Times New Roman"/>
              </w:rPr>
            </w:pPr>
            <w:r>
              <w:rPr>
                <w:rFonts w:ascii="Times New Roman" w:hAnsi="Times New Roman"/>
              </w:rPr>
              <w:t>1</w:t>
            </w:r>
          </w:p>
        </w:tc>
      </w:tr>
      <w:tr w:rsidR="00F33648" w:rsidRPr="001A039D" w:rsidTr="00BC6297">
        <w:tc>
          <w:tcPr>
            <w:tcW w:w="1276" w:type="dxa"/>
          </w:tcPr>
          <w:p w:rsidR="00F33648" w:rsidRPr="001A039D" w:rsidRDefault="00F33648" w:rsidP="00C230FB">
            <w:pPr>
              <w:pStyle w:val="NoSpacing"/>
              <w:numPr>
                <w:ilvl w:val="0"/>
                <w:numId w:val="10"/>
              </w:numPr>
              <w:rPr>
                <w:rFonts w:ascii="Times New Roman" w:hAnsi="Times New Roman"/>
              </w:rPr>
            </w:pPr>
          </w:p>
        </w:tc>
        <w:tc>
          <w:tcPr>
            <w:tcW w:w="6946" w:type="dxa"/>
          </w:tcPr>
          <w:p w:rsidR="00F33648" w:rsidRPr="00FE1045" w:rsidRDefault="00F33648" w:rsidP="00F73AD3">
            <w:pPr>
              <w:pStyle w:val="NoSpacing"/>
              <w:jc w:val="both"/>
              <w:rPr>
                <w:rFonts w:ascii="Times New Roman" w:hAnsi="Times New Roman"/>
                <w:lang w:val="en-IN"/>
              </w:rPr>
            </w:pPr>
            <w:r w:rsidRPr="00FE1045">
              <w:rPr>
                <w:rFonts w:ascii="Times New Roman" w:hAnsi="Times New Roman"/>
                <w:lang w:val="en-IN"/>
              </w:rPr>
              <w:t>HPLC-UV-VIS</w:t>
            </w:r>
          </w:p>
        </w:tc>
        <w:tc>
          <w:tcPr>
            <w:tcW w:w="1276" w:type="dxa"/>
          </w:tcPr>
          <w:p w:rsidR="00F33648" w:rsidRDefault="00F33648" w:rsidP="00F73AD3">
            <w:pPr>
              <w:pStyle w:val="NoSpacing"/>
              <w:jc w:val="center"/>
              <w:rPr>
                <w:rFonts w:ascii="Times New Roman" w:hAnsi="Times New Roman"/>
              </w:rPr>
            </w:pPr>
            <w:r>
              <w:rPr>
                <w:rFonts w:ascii="Times New Roman" w:hAnsi="Times New Roman"/>
              </w:rPr>
              <w:t>1</w:t>
            </w:r>
          </w:p>
        </w:tc>
      </w:tr>
    </w:tbl>
    <w:p w:rsidR="00EE65A8" w:rsidRDefault="00EE65A8" w:rsidP="00773406">
      <w:pPr>
        <w:pStyle w:val="NoSpacing"/>
      </w:pPr>
    </w:p>
    <w:p w:rsidR="00773406" w:rsidRDefault="00773406">
      <w:pPr>
        <w:spacing w:after="0" w:line="240" w:lineRule="auto"/>
      </w:pPr>
      <w:r>
        <w:br w:type="page"/>
      </w:r>
    </w:p>
    <w:p w:rsidR="0072468A" w:rsidRPr="00653DBC" w:rsidRDefault="00F33648" w:rsidP="0072468A">
      <w:pPr>
        <w:spacing w:after="0" w:line="240" w:lineRule="auto"/>
        <w:jc w:val="center"/>
        <w:rPr>
          <w:rFonts w:ascii="Times New Roman" w:hAnsi="Times New Roman" w:cs="Times New Roman"/>
          <w:b/>
          <w:u w:val="single"/>
        </w:rPr>
      </w:pPr>
      <w:r w:rsidRPr="00653DBC">
        <w:rPr>
          <w:rFonts w:ascii="Times New Roman" w:hAnsi="Times New Roman" w:cs="Times New Roman"/>
          <w:b/>
          <w:u w:val="single"/>
        </w:rPr>
        <w:lastRenderedPageBreak/>
        <w:t xml:space="preserve">SECTION-III: </w:t>
      </w:r>
      <w:r w:rsidR="00773406" w:rsidRPr="00653DBC">
        <w:rPr>
          <w:rFonts w:ascii="Times New Roman" w:hAnsi="Times New Roman" w:cs="Times New Roman"/>
          <w:b/>
          <w:u w:val="single"/>
        </w:rPr>
        <w:t>SCOPE OF WORK UNDER AMC</w:t>
      </w:r>
    </w:p>
    <w:p w:rsidR="0072468A" w:rsidRDefault="0072468A" w:rsidP="0072468A">
      <w:pPr>
        <w:spacing w:after="0" w:line="240" w:lineRule="auto"/>
        <w:rPr>
          <w:rFonts w:ascii="Times New Roman" w:hAnsi="Times New Roman" w:cs="Times New Roman"/>
        </w:rPr>
      </w:pPr>
    </w:p>
    <w:p w:rsidR="0060047D" w:rsidRPr="00DC68DD" w:rsidRDefault="0060047D" w:rsidP="00C348FC">
      <w:pPr>
        <w:pStyle w:val="ListParagraph"/>
        <w:numPr>
          <w:ilvl w:val="0"/>
          <w:numId w:val="34"/>
        </w:numPr>
        <w:jc w:val="both"/>
        <w:rPr>
          <w:rFonts w:ascii="Times New Roman" w:hAnsi="Times New Roman"/>
        </w:rPr>
      </w:pPr>
      <w:r w:rsidRPr="00DC68DD">
        <w:rPr>
          <w:rFonts w:ascii="Times New Roman" w:hAnsi="Times New Roman"/>
        </w:rPr>
        <w:t>Annual Maintenance Contract (AMC) covers two routine Preventive Maintenance and breakdown calls/repair visit if and when require. Travel and Transport charges include in the cost.</w:t>
      </w:r>
    </w:p>
    <w:p w:rsidR="0060047D" w:rsidRDefault="0060047D" w:rsidP="0060047D">
      <w:pPr>
        <w:pStyle w:val="ListParagraph"/>
        <w:numPr>
          <w:ilvl w:val="0"/>
          <w:numId w:val="34"/>
        </w:numPr>
        <w:rPr>
          <w:rFonts w:ascii="Times New Roman" w:hAnsi="Times New Roman"/>
        </w:rPr>
      </w:pPr>
      <w:r w:rsidRPr="00DC68DD">
        <w:rPr>
          <w:rFonts w:ascii="Times New Roman" w:hAnsi="Times New Roman"/>
        </w:rPr>
        <w:t>Routine Preventive Maintenance includes</w:t>
      </w:r>
    </w:p>
    <w:p w:rsidR="00DC68DD" w:rsidRPr="00DC68DD" w:rsidRDefault="00DC68DD" w:rsidP="00EA2C18">
      <w:pPr>
        <w:pStyle w:val="ListParagraph"/>
        <w:rPr>
          <w:rFonts w:ascii="Times New Roman" w:hAnsi="Times New Roman"/>
        </w:rPr>
      </w:pPr>
    </w:p>
    <w:p w:rsidR="0060047D" w:rsidRPr="00927ACE"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 xml:space="preserve">i) Instrument </w:t>
      </w:r>
      <w:r>
        <w:rPr>
          <w:rFonts w:ascii="Times New Roman" w:hAnsi="Times New Roman" w:cs="Times New Roman"/>
          <w:sz w:val="24"/>
          <w:szCs w:val="24"/>
        </w:rPr>
        <w:t xml:space="preserve">and fan </w:t>
      </w:r>
      <w:r w:rsidRPr="00927ACE">
        <w:rPr>
          <w:rFonts w:ascii="Times New Roman" w:hAnsi="Times New Roman" w:cs="Times New Roman"/>
          <w:sz w:val="24"/>
          <w:szCs w:val="24"/>
        </w:rPr>
        <w:t>dust cleaning</w:t>
      </w:r>
    </w:p>
    <w:p w:rsidR="0060047D"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ii) Input Voltage Verification</w:t>
      </w:r>
    </w:p>
    <w:p w:rsidR="0060047D" w:rsidRPr="00927ACE" w:rsidRDefault="0060047D" w:rsidP="0060047D">
      <w:pPr>
        <w:ind w:left="720"/>
        <w:rPr>
          <w:rFonts w:ascii="Times New Roman" w:hAnsi="Times New Roman" w:cs="Times New Roman"/>
          <w:sz w:val="24"/>
          <w:szCs w:val="24"/>
        </w:rPr>
      </w:pPr>
      <w:r>
        <w:rPr>
          <w:rFonts w:ascii="Times New Roman" w:hAnsi="Times New Roman" w:cs="Times New Roman"/>
          <w:sz w:val="24"/>
          <w:szCs w:val="24"/>
        </w:rPr>
        <w:t xml:space="preserve">iii) Inspection of Firmware version, Fan, Flow cell, Tubing and fittings, seal wash system, degasser system, solvent manager door and error log </w:t>
      </w:r>
    </w:p>
    <w:p w:rsidR="0060047D" w:rsidRPr="00927ACE"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 xml:space="preserve">iii) </w:t>
      </w:r>
      <w:r>
        <w:rPr>
          <w:rFonts w:ascii="Times New Roman" w:hAnsi="Times New Roman" w:cs="Times New Roman"/>
          <w:sz w:val="24"/>
          <w:szCs w:val="24"/>
        </w:rPr>
        <w:t>Replace or rebuild of plunger seals, plungers, solvent filters, check valves, solvent management components, lamp and foam filter of detector and tubing</w:t>
      </w:r>
    </w:p>
    <w:p w:rsidR="0060047D" w:rsidRPr="00927ACE" w:rsidRDefault="0060047D" w:rsidP="0060047D">
      <w:pPr>
        <w:ind w:left="720"/>
        <w:rPr>
          <w:rFonts w:ascii="Times New Roman" w:hAnsi="Times New Roman" w:cs="Times New Roman"/>
          <w:sz w:val="24"/>
          <w:szCs w:val="24"/>
        </w:rPr>
      </w:pPr>
      <w:r w:rsidRPr="00927ACE">
        <w:rPr>
          <w:rFonts w:ascii="Times New Roman" w:hAnsi="Times New Roman" w:cs="Times New Roman"/>
          <w:sz w:val="24"/>
          <w:szCs w:val="24"/>
        </w:rPr>
        <w:t>v</w:t>
      </w:r>
      <w:r>
        <w:rPr>
          <w:rFonts w:ascii="Times New Roman" w:hAnsi="Times New Roman" w:cs="Times New Roman"/>
          <w:sz w:val="24"/>
          <w:szCs w:val="24"/>
        </w:rPr>
        <w:t>i</w:t>
      </w:r>
      <w:r w:rsidRPr="00927ACE">
        <w:rPr>
          <w:rFonts w:ascii="Times New Roman" w:hAnsi="Times New Roman" w:cs="Times New Roman"/>
          <w:sz w:val="24"/>
          <w:szCs w:val="24"/>
        </w:rPr>
        <w:t xml:space="preserve">) </w:t>
      </w:r>
      <w:r>
        <w:rPr>
          <w:rFonts w:ascii="Times New Roman" w:hAnsi="Times New Roman" w:cs="Times New Roman"/>
          <w:sz w:val="24"/>
          <w:szCs w:val="24"/>
        </w:rPr>
        <w:t>Verification of instrument after completion of maintenance task</w:t>
      </w:r>
    </w:p>
    <w:p w:rsidR="00DC572C" w:rsidRPr="0060047D" w:rsidRDefault="00DC572C" w:rsidP="0060047D">
      <w:pPr>
        <w:contextualSpacing/>
        <w:rPr>
          <w:rFonts w:ascii="Times New Roman" w:hAnsi="Times New Roman"/>
        </w:rPr>
      </w:pPr>
    </w:p>
    <w:p w:rsidR="00BB1E87" w:rsidRPr="0072468A" w:rsidRDefault="00BB1E87" w:rsidP="0072468A">
      <w:pPr>
        <w:spacing w:after="0" w:line="240" w:lineRule="auto"/>
        <w:rPr>
          <w:rFonts w:ascii="Times New Roman" w:hAnsi="Times New Roman" w:cs="Times New Roman"/>
          <w:b/>
          <w:u w:val="single"/>
        </w:rPr>
      </w:pPr>
      <w:r w:rsidRPr="0072468A">
        <w:rPr>
          <w:rFonts w:ascii="Times New Roman" w:hAnsi="Times New Roman"/>
          <w:b/>
          <w:u w:val="single"/>
        </w:rPr>
        <w:br w:type="page"/>
      </w:r>
    </w:p>
    <w:p w:rsidR="00DF1FAA" w:rsidRPr="00D82147" w:rsidRDefault="00DF1FAA" w:rsidP="00DF1FAA">
      <w:pPr>
        <w:pStyle w:val="NoSpacing"/>
        <w:jc w:val="center"/>
        <w:rPr>
          <w:rFonts w:ascii="Times New Roman" w:hAnsi="Times New Roman"/>
          <w:b/>
          <w:sz w:val="22"/>
          <w:szCs w:val="22"/>
          <w:u w:val="single"/>
        </w:rPr>
      </w:pPr>
      <w:r w:rsidRPr="00D82147">
        <w:rPr>
          <w:rFonts w:ascii="Times New Roman" w:hAnsi="Times New Roman"/>
          <w:b/>
          <w:bCs/>
          <w:sz w:val="22"/>
          <w:szCs w:val="22"/>
          <w:u w:val="single"/>
        </w:rPr>
        <w:lastRenderedPageBreak/>
        <w:t>SECTION-</w:t>
      </w:r>
      <w:r>
        <w:rPr>
          <w:rFonts w:ascii="Times New Roman" w:hAnsi="Times New Roman"/>
          <w:b/>
          <w:bCs/>
          <w:sz w:val="22"/>
          <w:szCs w:val="22"/>
          <w:u w:val="single"/>
        </w:rPr>
        <w:t>I</w:t>
      </w:r>
      <w:r w:rsidRPr="00D82147">
        <w:rPr>
          <w:rFonts w:ascii="Times New Roman" w:hAnsi="Times New Roman"/>
          <w:b/>
          <w:bCs/>
          <w:sz w:val="22"/>
          <w:szCs w:val="22"/>
          <w:u w:val="single"/>
        </w:rPr>
        <w:t xml:space="preserve">V: GENERAL </w:t>
      </w:r>
      <w:r w:rsidRPr="00D82147">
        <w:rPr>
          <w:rFonts w:ascii="Times New Roman" w:hAnsi="Times New Roman"/>
          <w:b/>
          <w:sz w:val="22"/>
          <w:szCs w:val="22"/>
          <w:u w:val="single"/>
        </w:rPr>
        <w:t>CONDITIONS</w:t>
      </w:r>
      <w:r>
        <w:rPr>
          <w:rFonts w:ascii="Times New Roman" w:hAnsi="Times New Roman"/>
          <w:b/>
          <w:sz w:val="22"/>
          <w:szCs w:val="22"/>
          <w:u w:val="single"/>
        </w:rPr>
        <w:t xml:space="preserve"> OF CONTRACT (GCC)</w:t>
      </w:r>
    </w:p>
    <w:p w:rsidR="00DA2AE0" w:rsidRDefault="00DA2AE0">
      <w:pPr>
        <w:spacing w:after="0" w:line="240" w:lineRule="auto"/>
        <w:rPr>
          <w:rFonts w:ascii="Times New Roman" w:hAnsi="Times New Roman" w:cs="Times New Roman"/>
          <w:b/>
          <w:u w:val="single"/>
        </w:rPr>
      </w:pPr>
    </w:p>
    <w:p w:rsidR="00DF1FAA" w:rsidRPr="00DF1FAA" w:rsidRDefault="00DF1FAA" w:rsidP="00DF1FAA">
      <w:pPr>
        <w:pStyle w:val="NoSpacing"/>
        <w:numPr>
          <w:ilvl w:val="0"/>
          <w:numId w:val="7"/>
        </w:numPr>
        <w:suppressAutoHyphens w:val="0"/>
        <w:jc w:val="both"/>
        <w:rPr>
          <w:rFonts w:ascii="Times New Roman" w:hAnsi="Times New Roman"/>
          <w:b/>
          <w:sz w:val="22"/>
          <w:szCs w:val="22"/>
        </w:rPr>
      </w:pPr>
      <w:r w:rsidRPr="004C0B8B">
        <w:rPr>
          <w:rFonts w:ascii="Times New Roman" w:hAnsi="Times New Roman"/>
          <w:b/>
          <w:sz w:val="22"/>
          <w:szCs w:val="22"/>
        </w:rPr>
        <w:t xml:space="preserve">Bid Security: </w:t>
      </w:r>
      <w:r w:rsidRPr="00DF1FAA">
        <w:rPr>
          <w:rFonts w:ascii="Times New Roman" w:hAnsi="Times New Roman"/>
          <w:sz w:val="22"/>
          <w:szCs w:val="22"/>
        </w:rPr>
        <w:t xml:space="preserve">In terms of OM No. F.9/4/2020-PPD dated 12th November, 2020 issued by Ministry of Finance, Govt. of India, bidders are requested to sign "Bid Security Declaration" format </w:t>
      </w:r>
      <w:r w:rsidRPr="00DF1FAA">
        <w:rPr>
          <w:rFonts w:ascii="Times New Roman" w:hAnsi="Times New Roman"/>
          <w:b/>
          <w:sz w:val="22"/>
          <w:szCs w:val="22"/>
          <w:highlight w:val="yellow"/>
        </w:rPr>
        <w:t>(Annexure – II)</w:t>
      </w:r>
      <w:r w:rsidRPr="00DF1FAA">
        <w:rPr>
          <w:rFonts w:ascii="Times New Roman" w:hAnsi="Times New Roman"/>
          <w:sz w:val="22"/>
          <w:szCs w:val="22"/>
        </w:rPr>
        <w:t xml:space="preserve"> accepting that if they withdraw or modify their bids during period of validity etc., they will be suspended for the time specified in the tender documents.</w:t>
      </w:r>
    </w:p>
    <w:p w:rsidR="00DF1FAA" w:rsidRPr="004C0B8B" w:rsidRDefault="00DF1FAA" w:rsidP="00DF1FAA">
      <w:pPr>
        <w:pStyle w:val="ListParagraph"/>
        <w:numPr>
          <w:ilvl w:val="0"/>
          <w:numId w:val="30"/>
        </w:numPr>
        <w:jc w:val="both"/>
        <w:rPr>
          <w:rFonts w:ascii="Times New Roman" w:hAnsi="Times New Roman"/>
          <w:b/>
          <w:sz w:val="22"/>
          <w:szCs w:val="22"/>
        </w:rPr>
      </w:pPr>
      <w:r w:rsidRPr="004C0B8B">
        <w:rPr>
          <w:rFonts w:ascii="Times New Roman" w:hAnsi="Times New Roman"/>
          <w:sz w:val="22"/>
          <w:szCs w:val="22"/>
        </w:rPr>
        <w:t xml:space="preserve">The envelope containing the original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should bear tender details (Name of bidder, tender no., tender name etc.). </w:t>
      </w:r>
    </w:p>
    <w:p w:rsidR="00DF1FAA" w:rsidRPr="00DF1FAA" w:rsidRDefault="00DF1FAA" w:rsidP="00DF1FAA">
      <w:pPr>
        <w:pStyle w:val="ListParagraph"/>
        <w:numPr>
          <w:ilvl w:val="0"/>
          <w:numId w:val="30"/>
        </w:numPr>
        <w:jc w:val="both"/>
        <w:rPr>
          <w:rFonts w:ascii="Times New Roman" w:hAnsi="Times New Roman"/>
          <w:b/>
          <w:sz w:val="22"/>
          <w:szCs w:val="22"/>
        </w:rPr>
      </w:pPr>
      <w:r w:rsidRPr="004C0B8B">
        <w:rPr>
          <w:rFonts w:ascii="Times New Roman" w:hAnsi="Times New Roman"/>
          <w:sz w:val="22"/>
          <w:szCs w:val="22"/>
        </w:rPr>
        <w:t xml:space="preserve">The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is required to protect the Purchaser against risk of Bidder’s conduct.</w:t>
      </w:r>
    </w:p>
    <w:p w:rsidR="00DF1FAA" w:rsidRPr="004C0B8B" w:rsidRDefault="00DF1FAA" w:rsidP="00DF1FAA">
      <w:pPr>
        <w:pStyle w:val="ListParagraph"/>
        <w:ind w:left="1490"/>
        <w:jc w:val="both"/>
        <w:rPr>
          <w:rFonts w:ascii="Times New Roman" w:hAnsi="Times New Roman"/>
          <w:b/>
          <w:sz w:val="22"/>
          <w:szCs w:val="22"/>
        </w:rPr>
      </w:pPr>
    </w:p>
    <w:p w:rsidR="00DF1FAA" w:rsidRDefault="00DF1FAA" w:rsidP="00DF1FAA">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The quotation should be valid for a period </w:t>
      </w:r>
      <w:r w:rsidRPr="004954A0">
        <w:rPr>
          <w:rFonts w:ascii="Times New Roman" w:hAnsi="Times New Roman"/>
          <w:color w:val="FF0000"/>
          <w:sz w:val="22"/>
          <w:szCs w:val="22"/>
          <w:highlight w:val="yellow"/>
        </w:rPr>
        <w:t>of 180 days</w:t>
      </w:r>
      <w:r w:rsidRPr="00D82147">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DF1FAA" w:rsidRDefault="00DF1FAA" w:rsidP="00DF1FAA">
      <w:pPr>
        <w:pStyle w:val="NoSpacing"/>
        <w:suppressAutoHyphens w:val="0"/>
        <w:ind w:left="360"/>
        <w:jc w:val="both"/>
        <w:rPr>
          <w:rFonts w:ascii="Times New Roman" w:hAnsi="Times New Roman"/>
          <w:sz w:val="22"/>
          <w:szCs w:val="22"/>
        </w:rPr>
      </w:pPr>
    </w:p>
    <w:p w:rsidR="00DF1FAA" w:rsidRDefault="006321D7" w:rsidP="00DF1FAA">
      <w:pPr>
        <w:pStyle w:val="NoSpacing"/>
        <w:numPr>
          <w:ilvl w:val="0"/>
          <w:numId w:val="7"/>
        </w:numPr>
        <w:suppressAutoHyphens w:val="0"/>
        <w:jc w:val="both"/>
        <w:rPr>
          <w:rFonts w:ascii="Times New Roman" w:hAnsi="Times New Roman"/>
          <w:sz w:val="22"/>
          <w:szCs w:val="22"/>
        </w:rPr>
      </w:pPr>
      <w:r w:rsidRPr="00DF1FAA">
        <w:rPr>
          <w:rFonts w:ascii="Times New Roman" w:hAnsi="Times New Roman"/>
          <w:sz w:val="22"/>
          <w:szCs w:val="22"/>
        </w:rPr>
        <w:t>The bidder should be either the Original Equipment Manufacturer of the items covered by the Schedule of Requirements given in this document or a Service Provider authorized by the Original Equipment Manufacturer(s) for providing service for the items covered by Schedule of Requirements.</w:t>
      </w:r>
    </w:p>
    <w:p w:rsidR="00DF1FAA" w:rsidRPr="00DF1FAA" w:rsidRDefault="0080226A" w:rsidP="00DF1FAA">
      <w:pPr>
        <w:pStyle w:val="NoSpacing"/>
        <w:numPr>
          <w:ilvl w:val="0"/>
          <w:numId w:val="31"/>
        </w:numPr>
        <w:suppressAutoHyphens w:val="0"/>
        <w:jc w:val="both"/>
        <w:rPr>
          <w:rFonts w:ascii="Times New Roman" w:hAnsi="Times New Roman"/>
          <w:sz w:val="22"/>
          <w:szCs w:val="22"/>
        </w:rPr>
      </w:pPr>
      <w:r w:rsidRPr="00DF1FAA">
        <w:rPr>
          <w:rFonts w:ascii="Times New Roman" w:hAnsi="Times New Roman"/>
          <w:sz w:val="22"/>
          <w:szCs w:val="22"/>
        </w:rPr>
        <w:t>The bidder must submit a letter from the Original Equipment Manufacturer of the services quoted, to the effect that the bidder is authorized and competent to provide the required services for same.</w:t>
      </w:r>
    </w:p>
    <w:p w:rsidR="003D429D" w:rsidRPr="00DF1FAA" w:rsidRDefault="003D429D" w:rsidP="00DF1FAA">
      <w:pPr>
        <w:pStyle w:val="NoSpacing"/>
        <w:numPr>
          <w:ilvl w:val="0"/>
          <w:numId w:val="31"/>
        </w:numPr>
        <w:suppressAutoHyphens w:val="0"/>
        <w:jc w:val="both"/>
        <w:rPr>
          <w:rFonts w:ascii="Times New Roman" w:hAnsi="Times New Roman"/>
          <w:sz w:val="22"/>
          <w:szCs w:val="22"/>
        </w:rPr>
      </w:pPr>
      <w:r w:rsidRPr="00DF1FAA">
        <w:rPr>
          <w:rFonts w:ascii="Times New Roman" w:hAnsi="Times New Roman"/>
          <w:sz w:val="22"/>
          <w:szCs w:val="22"/>
        </w:rPr>
        <w:t>Bids submitted without OEM Authorization letter will be disqualified.</w:t>
      </w:r>
    </w:p>
    <w:p w:rsidR="005A370F" w:rsidRPr="00773406" w:rsidRDefault="005A370F" w:rsidP="00C57A43">
      <w:pPr>
        <w:pStyle w:val="NoSpacing"/>
        <w:rPr>
          <w:rFonts w:ascii="Times New Roman" w:hAnsi="Times New Roman"/>
          <w:sz w:val="22"/>
          <w:szCs w:val="22"/>
        </w:rPr>
      </w:pPr>
    </w:p>
    <w:p w:rsidR="006321D7" w:rsidRPr="00773406" w:rsidRDefault="005A370F" w:rsidP="00DF1FAA">
      <w:pPr>
        <w:pStyle w:val="NoSpacing"/>
        <w:numPr>
          <w:ilvl w:val="0"/>
          <w:numId w:val="7"/>
        </w:numPr>
        <w:jc w:val="both"/>
        <w:rPr>
          <w:rFonts w:ascii="Times New Roman" w:hAnsi="Times New Roman"/>
          <w:sz w:val="22"/>
          <w:szCs w:val="22"/>
        </w:rPr>
      </w:pPr>
      <w:r w:rsidRPr="00773406">
        <w:rPr>
          <w:rFonts w:ascii="Times New Roman" w:hAnsi="Times New Roman"/>
          <w:sz w:val="22"/>
          <w:szCs w:val="22"/>
        </w:rPr>
        <w:t xml:space="preserve">Bidder is requested to mention the applicable GST rate along with HSN code in </w:t>
      </w:r>
      <w:r w:rsidR="003348AB" w:rsidRPr="00773406">
        <w:rPr>
          <w:rFonts w:ascii="Times New Roman" w:hAnsi="Times New Roman"/>
          <w:sz w:val="22"/>
          <w:szCs w:val="22"/>
        </w:rPr>
        <w:t xml:space="preserve">the quotation </w:t>
      </w:r>
      <w:r w:rsidRPr="00773406">
        <w:rPr>
          <w:rFonts w:ascii="Times New Roman" w:hAnsi="Times New Roman"/>
          <w:sz w:val="22"/>
          <w:szCs w:val="22"/>
        </w:rPr>
        <w:t>so that applicable GST rate will considered for financial evaluation and Order placement.</w:t>
      </w:r>
    </w:p>
    <w:p w:rsidR="00753AA7" w:rsidRPr="00773406" w:rsidRDefault="00753AA7" w:rsidP="00753AA7">
      <w:pPr>
        <w:pStyle w:val="NoSpacing"/>
        <w:jc w:val="both"/>
        <w:rPr>
          <w:rFonts w:ascii="Times New Roman" w:hAnsi="Times New Roman"/>
          <w:sz w:val="22"/>
          <w:szCs w:val="22"/>
        </w:rPr>
      </w:pPr>
    </w:p>
    <w:p w:rsidR="00586B69" w:rsidRPr="00DF1FAA" w:rsidRDefault="00586B69" w:rsidP="00DF1FAA">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Contract Period:</w:t>
      </w:r>
      <w:r w:rsidRPr="00DF1FAA">
        <w:rPr>
          <w:rFonts w:ascii="Times New Roman" w:hAnsi="Times New Roman"/>
          <w:sz w:val="22"/>
          <w:szCs w:val="22"/>
        </w:rPr>
        <w:t xml:space="preserve">Bidder is to submit </w:t>
      </w:r>
      <w:r w:rsidR="00907307" w:rsidRPr="00DF1FAA">
        <w:rPr>
          <w:rFonts w:ascii="Times New Roman" w:hAnsi="Times New Roman"/>
          <w:sz w:val="22"/>
          <w:szCs w:val="22"/>
        </w:rPr>
        <w:t xml:space="preserve">quotation </w:t>
      </w:r>
      <w:r w:rsidRPr="00DF1FAA">
        <w:rPr>
          <w:rFonts w:ascii="Times New Roman" w:hAnsi="Times New Roman"/>
          <w:sz w:val="22"/>
          <w:szCs w:val="22"/>
        </w:rPr>
        <w:t xml:space="preserve">with AMC charges for </w:t>
      </w:r>
      <w:r w:rsidR="00DF1FAA" w:rsidRPr="00DF1FAA">
        <w:rPr>
          <w:rFonts w:ascii="Times New Roman" w:hAnsi="Times New Roman"/>
          <w:sz w:val="22"/>
          <w:szCs w:val="22"/>
        </w:rPr>
        <w:t>TWO</w:t>
      </w:r>
      <w:r w:rsidRPr="00DF1FAA">
        <w:rPr>
          <w:rFonts w:ascii="Times New Roman" w:hAnsi="Times New Roman"/>
          <w:sz w:val="22"/>
          <w:szCs w:val="22"/>
        </w:rPr>
        <w:t xml:space="preserve"> year</w:t>
      </w:r>
      <w:r w:rsidR="00FA015F" w:rsidRPr="00DF1FAA">
        <w:rPr>
          <w:rFonts w:ascii="Times New Roman" w:hAnsi="Times New Roman"/>
          <w:sz w:val="22"/>
          <w:szCs w:val="22"/>
        </w:rPr>
        <w:t>s</w:t>
      </w:r>
      <w:r w:rsidRPr="00DF1FAA">
        <w:rPr>
          <w:rFonts w:ascii="Times New Roman" w:hAnsi="Times New Roman"/>
          <w:sz w:val="22"/>
          <w:szCs w:val="22"/>
        </w:rPr>
        <w:t>.</w:t>
      </w:r>
    </w:p>
    <w:p w:rsidR="00586B69" w:rsidRPr="00773406" w:rsidRDefault="00586B69" w:rsidP="00753AA7">
      <w:pPr>
        <w:pStyle w:val="NoSpacing"/>
        <w:jc w:val="both"/>
        <w:rPr>
          <w:rFonts w:ascii="Times New Roman" w:hAnsi="Times New Roman"/>
          <w:sz w:val="22"/>
          <w:szCs w:val="22"/>
        </w:rPr>
      </w:pPr>
    </w:p>
    <w:p w:rsidR="007B7B60" w:rsidRPr="00773406" w:rsidRDefault="007B7B60" w:rsidP="00DF1FAA">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Payment terms:</w:t>
      </w:r>
    </w:p>
    <w:p w:rsidR="00A04505" w:rsidRPr="00773406" w:rsidRDefault="00A04505"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made on bi-annual mode, i.e.,50 % of the amount after rendering services for 6 months remaining 50% of the amount after completion  remaining 6 months subject to satisfactory report received from the concerned division within 30 days.</w:t>
      </w:r>
    </w:p>
    <w:p w:rsidR="00A04505" w:rsidRPr="00773406" w:rsidRDefault="00A04505" w:rsidP="00C230FB">
      <w:pPr>
        <w:pStyle w:val="ListParagraph"/>
        <w:numPr>
          <w:ilvl w:val="0"/>
          <w:numId w:val="12"/>
        </w:numPr>
        <w:suppressAutoHyphens w:val="0"/>
        <w:ind w:right="-108"/>
        <w:contextualSpacing/>
        <w:jc w:val="both"/>
        <w:rPr>
          <w:rFonts w:ascii="Times New Roman" w:hAnsi="Times New Roman"/>
          <w:sz w:val="22"/>
          <w:szCs w:val="22"/>
        </w:rPr>
      </w:pPr>
      <w:r w:rsidRPr="00773406">
        <w:rPr>
          <w:rFonts w:ascii="Times New Roman" w:hAnsi="Times New Roman"/>
          <w:bCs/>
          <w:sz w:val="22"/>
          <w:szCs w:val="22"/>
        </w:rPr>
        <w:t xml:space="preserve">In case if agency is intends for advance  payment then the </w:t>
      </w:r>
      <w:r w:rsidR="00DF1FAA" w:rsidRPr="00773406">
        <w:rPr>
          <w:rFonts w:ascii="Times New Roman" w:hAnsi="Times New Roman"/>
          <w:bCs/>
          <w:sz w:val="22"/>
          <w:szCs w:val="22"/>
        </w:rPr>
        <w:t>advance</w:t>
      </w:r>
      <w:r w:rsidRPr="00773406">
        <w:rPr>
          <w:rFonts w:ascii="Times New Roman" w:hAnsi="Times New Roman"/>
          <w:bCs/>
          <w:sz w:val="22"/>
          <w:szCs w:val="22"/>
        </w:rPr>
        <w:t xml:space="preserve"> payment shall be made on half yearly basis, i.e.50% will be made for the first six months and remaining 50% will be released on completion of six months. (</w:t>
      </w:r>
      <w:r w:rsidRPr="00773406">
        <w:rPr>
          <w:rFonts w:ascii="Times New Roman" w:hAnsi="Times New Roman"/>
          <w:sz w:val="22"/>
          <w:szCs w:val="22"/>
        </w:rPr>
        <w:t>After six months bill will be raised by the company for making the payment along with log book of the Equipment</w:t>
      </w:r>
      <w:r w:rsidRPr="00773406">
        <w:rPr>
          <w:rFonts w:ascii="Times New Roman" w:hAnsi="Times New Roman"/>
          <w:bCs/>
          <w:sz w:val="22"/>
          <w:szCs w:val="22"/>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773406">
        <w:rPr>
          <w:rFonts w:ascii="Times New Roman" w:hAnsi="Times New Roman"/>
          <w:sz w:val="22"/>
          <w:szCs w:val="22"/>
        </w:rPr>
        <w:t xml:space="preserve"> During service visit equipment will be thoroughly cleaned, serviced and adjusted.</w:t>
      </w:r>
    </w:p>
    <w:p w:rsidR="000923A3" w:rsidRPr="00773406" w:rsidRDefault="007B7B60"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initiated only after successful completion of AMC coverage period andcertified by us upon receipt of Original Invoice along with Service reports for the servicesprovided during AMC period.</w:t>
      </w:r>
    </w:p>
    <w:p w:rsidR="00717330"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All the payment shall be made by Cheque/DD/RTGS/NEFT after supply and final acceptance by the designated officer.</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The supplier shall not claim any interest on payment under the contract.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94B97"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lastRenderedPageBreak/>
        <w:t>No additional service charges for fixing the spare parts to the equipment will be allowed.</w:t>
      </w:r>
    </w:p>
    <w:p w:rsidR="00D94B97" w:rsidRPr="00773406" w:rsidRDefault="00D94B97" w:rsidP="00D94B97">
      <w:pPr>
        <w:pStyle w:val="NoSpacing"/>
        <w:jc w:val="both"/>
        <w:rPr>
          <w:rFonts w:ascii="Times New Roman" w:hAnsi="Times New Roman"/>
          <w:sz w:val="22"/>
          <w:szCs w:val="22"/>
        </w:rPr>
      </w:pPr>
    </w:p>
    <w:p w:rsidR="0085313A" w:rsidRPr="00773406" w:rsidRDefault="0085313A" w:rsidP="00AE10F2">
      <w:pPr>
        <w:pStyle w:val="NoSpacing"/>
        <w:numPr>
          <w:ilvl w:val="0"/>
          <w:numId w:val="7"/>
        </w:numPr>
        <w:jc w:val="both"/>
        <w:rPr>
          <w:rFonts w:ascii="Times New Roman" w:hAnsi="Times New Roman"/>
          <w:sz w:val="22"/>
          <w:szCs w:val="22"/>
          <w:u w:val="single"/>
        </w:rPr>
      </w:pPr>
      <w:r w:rsidRPr="00773406">
        <w:rPr>
          <w:rFonts w:ascii="Times New Roman" w:hAnsi="Times New Roman"/>
          <w:sz w:val="22"/>
          <w:szCs w:val="22"/>
          <w:u w:val="single"/>
        </w:rPr>
        <w:t>Submission of Bids:</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Duly filled Bid with proper seal and signature of the authorized person (with name, designation &amp; contact no.)</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Authorization letter issued by the competent authority of bidder authorizing the signatory to sign on behalf of the bidder.</w:t>
      </w:r>
    </w:p>
    <w:p w:rsidR="007115B4" w:rsidRPr="00773406" w:rsidRDefault="00AE10F2" w:rsidP="00AE10F2">
      <w:pPr>
        <w:pStyle w:val="NoSpacing"/>
        <w:numPr>
          <w:ilvl w:val="0"/>
          <w:numId w:val="7"/>
        </w:numPr>
        <w:jc w:val="both"/>
        <w:rPr>
          <w:rFonts w:ascii="Times New Roman" w:hAnsi="Times New Roman"/>
          <w:sz w:val="22"/>
          <w:szCs w:val="22"/>
          <w:u w:val="single"/>
        </w:rPr>
      </w:pPr>
      <w:r>
        <w:rPr>
          <w:rFonts w:ascii="Times New Roman" w:hAnsi="Times New Roman"/>
          <w:sz w:val="22"/>
          <w:szCs w:val="22"/>
          <w:u w:val="single"/>
        </w:rPr>
        <w:t>Other</w:t>
      </w:r>
      <w:r w:rsidR="007115B4" w:rsidRPr="00773406">
        <w:rPr>
          <w:rFonts w:ascii="Times New Roman" w:hAnsi="Times New Roman"/>
          <w:sz w:val="22"/>
          <w:szCs w:val="22"/>
          <w:u w:val="single"/>
        </w:rPr>
        <w:t xml:space="preserve"> Terms &amp; Conditions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total cost of Three years AMC is inclusive of all the expenses incurred during the due course of maintenance services such as accessories/third party supplies made during the supply and installation of all the equipment including labour and travelling expenses incurred for onsite repairs. Unless and until mutually agreed by both the parties, in writing, no additional costs under the contract shall be payable to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escalate to higher levels for resolving the issue pending beyond 48 hours.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 xml:space="preserve">All replaced parts, if any shall be original of manufacturer’s equipment. </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Any additional visits during the contract period, as and when required in the event of any break down/ malfunctioning of the equipment intimation in this regard by the NIPHM is covered in AMC.</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Agency while submitting bill towards cost of consumables will certify that this consumable is not provided in AMC as per company policy”.</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representative from the Agency will be responsible for countersigning the logbook of the complaint received from the caretaker of the equipment on every visit complaint after completion of the job.</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Supplier will provide coverage of required spares during breakdown of the system.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Firmware updates for system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All service labour charges for systems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Due to any reason, if either NIPHM or the firm wants to withdraw from the contract, they should inform to each other 60 days in advance.</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 xml:space="preserve">Any dispute arising in connection with the terms shall be subject to the exclusive jurisdiction of courts at Hyderabad.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The supplier should ensure highest uptime of the system.</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After Six months bill will be raised by the company for making the payment along with the log book of the Equipment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Acts of Omission and Commission:</w:t>
      </w:r>
    </w:p>
    <w:p w:rsidR="00A748FD" w:rsidRPr="00773406" w:rsidRDefault="00A748FD" w:rsidP="00A748FD">
      <w:pPr>
        <w:spacing w:after="0"/>
        <w:ind w:left="720" w:hanging="180"/>
        <w:jc w:val="both"/>
        <w:rPr>
          <w:rFonts w:ascii="Times New Roman" w:hAnsi="Times New Roman" w:cs="Times New Roman"/>
          <w:bCs/>
          <w:snapToGrid w:val="0"/>
        </w:rPr>
      </w:pPr>
      <w:r w:rsidRPr="00773406">
        <w:rPr>
          <w:rFonts w:ascii="Times New Roman" w:hAnsi="Times New Roman" w:cs="Times New Roman"/>
          <w:b/>
          <w:snapToGrid w:val="0"/>
        </w:rPr>
        <w:tab/>
      </w:r>
      <w:r w:rsidRPr="00773406">
        <w:rPr>
          <w:rFonts w:ascii="Times New Roman" w:hAnsi="Times New Roman" w:cs="Times New Roman"/>
          <w:bCs/>
          <w:snapToGrid w:val="0"/>
        </w:rPr>
        <w:t>NIPHM shall in no way be responsible for any acts of omission and commission arising out of any act or situation or circumstance, which may be the direct or indirect consequence of this contract.</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 xml:space="preserve">Non-Guarantor: </w:t>
      </w:r>
      <w:r w:rsidRPr="00773406">
        <w:rPr>
          <w:rFonts w:ascii="Times New Roman" w:hAnsi="Times New Roman"/>
          <w:bCs/>
          <w:snapToGrid w:val="0"/>
          <w:sz w:val="22"/>
          <w:szCs w:val="22"/>
        </w:rPr>
        <w:t>NIPHM shall in no way be responsible and is not a guarantor for any financial dealings by / obligations of the supplier, which may / may not have arisen due to this contract or which may be the direct / in-direct consequence of this contract.</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sz w:val="22"/>
          <w:szCs w:val="22"/>
        </w:rPr>
        <w:t>All the documents shall be signed, stamped and numbered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quotation should be valid for a period of </w:t>
      </w:r>
      <w:r w:rsidRPr="00773406">
        <w:rPr>
          <w:rFonts w:ascii="Times New Roman" w:hAnsi="Times New Roman"/>
          <w:b/>
          <w:sz w:val="22"/>
          <w:szCs w:val="22"/>
        </w:rPr>
        <w:t>180 days</w:t>
      </w:r>
      <w:r w:rsidRPr="00773406">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rPr>
        <w:lastRenderedPageBreak/>
        <w:t>Negotiations:</w:t>
      </w:r>
      <w:r w:rsidRPr="00773406">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OEM/authorized distributor should accept a fall clause and give an undertaking that, in case it supplies or quotes a lower rate to other Governments, Public Sector or Private Organisation, it would re-imburse the excess.</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Proprietary Article Certificate from the Manufacturer.</w:t>
      </w:r>
    </w:p>
    <w:p w:rsidR="00BB1E87"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Consignee</w:t>
      </w:r>
      <w:r w:rsidRPr="00773406">
        <w:rPr>
          <w:rFonts w:ascii="Times New Roman" w:hAnsi="Times New Roman"/>
          <w:sz w:val="22"/>
          <w:szCs w:val="22"/>
        </w:rPr>
        <w:t>: Registrar, National Institute of Plant Health Management (NIPHM), Rajendrangar, Hyderabad – 500 030</w:t>
      </w:r>
    </w:p>
    <w:p w:rsidR="005D6DC1" w:rsidRPr="00CC36AD" w:rsidRDefault="005D6DC1" w:rsidP="005D6DC1">
      <w:pPr>
        <w:pStyle w:val="ListParagraph"/>
        <w:numPr>
          <w:ilvl w:val="0"/>
          <w:numId w:val="17"/>
        </w:numPr>
        <w:autoSpaceDE w:val="0"/>
        <w:autoSpaceDN w:val="0"/>
        <w:adjustRightInd w:val="0"/>
        <w:jc w:val="both"/>
        <w:rPr>
          <w:rFonts w:ascii="Times New Roman" w:hAnsi="Times New Roman"/>
          <w:bCs/>
          <w:iCs/>
          <w:sz w:val="22"/>
          <w:szCs w:val="22"/>
          <w:lang w:val="en-US" w:eastAsia="en-US"/>
        </w:rPr>
      </w:pPr>
      <w:r w:rsidRPr="00CC36AD">
        <w:rPr>
          <w:rFonts w:ascii="Times New Roman" w:hAnsi="Times New Roman"/>
          <w:b/>
          <w:color w:val="000000"/>
          <w:sz w:val="22"/>
          <w:szCs w:val="22"/>
        </w:rPr>
        <w:t xml:space="preserve">Payment of Performance Security (PS): </w:t>
      </w:r>
      <w:r w:rsidRPr="00CC36AD">
        <w:rPr>
          <w:rFonts w:ascii="Times New Roman" w:hAnsi="Times New Roman"/>
          <w:sz w:val="22"/>
          <w:szCs w:val="22"/>
        </w:rPr>
        <w:t>Within ten (10) days after the Supplier’s receipt of Notification of Award, t</w:t>
      </w:r>
      <w:r w:rsidRPr="00CC36AD">
        <w:rPr>
          <w:rFonts w:ascii="Times New Roman" w:hAnsi="Times New Roman"/>
          <w:bCs/>
          <w:iCs/>
          <w:sz w:val="22"/>
          <w:szCs w:val="22"/>
          <w:lang w:val="en-US" w:eastAsia="en-US"/>
        </w:rPr>
        <w:t xml:space="preserve">he Successful firm(s) shall require to deposit </w:t>
      </w:r>
      <w:r w:rsidRPr="00CC36AD">
        <w:rPr>
          <w:rFonts w:ascii="Times New Roman" w:hAnsi="Times New Roman"/>
          <w:b/>
          <w:bCs/>
          <w:iCs/>
          <w:sz w:val="22"/>
          <w:szCs w:val="22"/>
          <w:lang w:val="en-US" w:eastAsia="en-US"/>
        </w:rPr>
        <w:t xml:space="preserve">3% of the order value </w:t>
      </w:r>
      <w:r w:rsidRPr="00CC36AD">
        <w:rPr>
          <w:rFonts w:ascii="Times New Roman" w:hAnsi="Times New Roman"/>
          <w:bCs/>
          <w:iCs/>
          <w:sz w:val="22"/>
          <w:szCs w:val="22"/>
          <w:lang w:val="en-US" w:eastAsia="en-US"/>
        </w:rPr>
        <w:t>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D6DC1" w:rsidRPr="00CC36AD" w:rsidRDefault="005D6DC1" w:rsidP="005D6DC1">
      <w:pPr>
        <w:pStyle w:val="ListParagraph"/>
        <w:autoSpaceDE w:val="0"/>
        <w:autoSpaceDN w:val="0"/>
        <w:adjustRightInd w:val="0"/>
        <w:ind w:left="644"/>
        <w:jc w:val="both"/>
        <w:rPr>
          <w:rFonts w:ascii="Times New Roman" w:hAnsi="Times New Roman"/>
          <w:b/>
          <w:color w:val="000000"/>
          <w:sz w:val="22"/>
          <w:szCs w:val="22"/>
        </w:rPr>
      </w:pPr>
    </w:p>
    <w:p w:rsidR="005D6DC1" w:rsidRPr="00CC36AD" w:rsidRDefault="005D6DC1" w:rsidP="005D6DC1">
      <w:pPr>
        <w:pStyle w:val="ListParagraph"/>
        <w:autoSpaceDE w:val="0"/>
        <w:autoSpaceDN w:val="0"/>
        <w:adjustRightInd w:val="0"/>
        <w:ind w:left="644"/>
        <w:jc w:val="both"/>
        <w:rPr>
          <w:rFonts w:ascii="Times New Roman" w:hAnsi="Times New Roman"/>
          <w:bCs/>
          <w:iCs/>
          <w:sz w:val="22"/>
          <w:szCs w:val="22"/>
          <w:lang w:val="en-US" w:eastAsia="en-US"/>
        </w:rPr>
      </w:pPr>
      <w:r w:rsidRPr="00CC36AD">
        <w:rPr>
          <w:rFonts w:ascii="Times New Roman" w:hAnsi="Times New Roman"/>
          <w:bCs/>
          <w:iCs/>
          <w:sz w:val="22"/>
          <w:szCs w:val="22"/>
          <w:lang w:val="en-US" w:eastAsia="en-US"/>
        </w:rPr>
        <w:t>The security deposit shall be forfeited, if the successful bidder fails to supply the stores</w:t>
      </w:r>
      <w:r w:rsidR="00BE5677" w:rsidRPr="00CC36AD">
        <w:rPr>
          <w:rFonts w:ascii="Times New Roman" w:hAnsi="Times New Roman"/>
          <w:bCs/>
          <w:iCs/>
          <w:sz w:val="22"/>
          <w:szCs w:val="22"/>
          <w:lang w:val="en-US" w:eastAsia="en-US"/>
        </w:rPr>
        <w:t>/services</w:t>
      </w:r>
      <w:r w:rsidRPr="00CC36AD">
        <w:rPr>
          <w:rFonts w:ascii="Times New Roman" w:hAnsi="Times New Roman"/>
          <w:bCs/>
          <w:iCs/>
          <w:sz w:val="22"/>
          <w:szCs w:val="22"/>
          <w:lang w:val="en-US" w:eastAsia="en-US"/>
        </w:rPr>
        <w:t xml:space="preserve"> as per specifications mentioned in the tender/P.O or does not accept the assigned work for any reason, whatsoever.</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Liquidated Damages:</w:t>
      </w:r>
      <w:r w:rsidRPr="00773406">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w:t>
      </w:r>
      <w:r w:rsidR="00B43890" w:rsidRPr="00B43890">
        <w:rPr>
          <w:rFonts w:ascii="Times New Roman" w:hAnsi="Times New Roman"/>
          <w:b/>
          <w:sz w:val="22"/>
          <w:szCs w:val="22"/>
        </w:rPr>
        <w:t>(6 months contract value)</w:t>
      </w:r>
      <w:r w:rsidRPr="00773406">
        <w:rPr>
          <w:rFonts w:ascii="Times New Roman" w:hAnsi="Times New Roman"/>
          <w:sz w:val="22"/>
          <w:szCs w:val="22"/>
        </w:rPr>
        <w:t xml:space="preserv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GST:-</w:t>
      </w:r>
      <w:r w:rsidRPr="00773406">
        <w:rPr>
          <w:rFonts w:ascii="Times New Roman" w:hAnsi="Times New Roman"/>
          <w:sz w:val="22"/>
          <w:szCs w:val="22"/>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w:t>
      </w:r>
      <w:r w:rsidR="00935D1F">
        <w:rPr>
          <w:rFonts w:ascii="Times New Roman" w:hAnsi="Times New Roman"/>
          <w:sz w:val="22"/>
          <w:szCs w:val="22"/>
        </w:rPr>
        <w:t xml:space="preserve">contractor </w:t>
      </w:r>
      <w:r w:rsidRPr="00773406">
        <w:rPr>
          <w:rFonts w:ascii="Times New Roman" w:hAnsi="Times New Roman"/>
          <w:sz w:val="22"/>
          <w:szCs w:val="22"/>
        </w:rPr>
        <w:t xml:space="preserve">shall not be entitled to any increase in the rates. </w:t>
      </w:r>
    </w:p>
    <w:p w:rsidR="00BB1E87" w:rsidRPr="00773406" w:rsidRDefault="00FA770E" w:rsidP="00C230FB">
      <w:pPr>
        <w:pStyle w:val="ListParagraph"/>
        <w:numPr>
          <w:ilvl w:val="0"/>
          <w:numId w:val="17"/>
        </w:numPr>
        <w:suppressAutoHyphens w:val="0"/>
        <w:spacing w:line="276" w:lineRule="auto"/>
        <w:contextualSpacing/>
        <w:jc w:val="both"/>
        <w:rPr>
          <w:rFonts w:ascii="Times New Roman" w:hAnsi="Times New Roman"/>
          <w:sz w:val="22"/>
          <w:szCs w:val="22"/>
        </w:rPr>
      </w:pPr>
      <w:r>
        <w:rPr>
          <w:rFonts w:ascii="Times New Roman" w:hAnsi="Times New Roman"/>
          <w:sz w:val="22"/>
          <w:szCs w:val="22"/>
        </w:rPr>
        <w:t>In case the equipment is taken outside for repair work, t</w:t>
      </w:r>
      <w:r w:rsidR="007115B4" w:rsidRPr="00773406">
        <w:rPr>
          <w:rFonts w:ascii="Times New Roman" w:hAnsi="Times New Roman"/>
          <w:sz w:val="22"/>
          <w:szCs w:val="22"/>
        </w:rPr>
        <w:t xml:space="preserve">he </w:t>
      </w:r>
      <w:r w:rsidR="00935D1F">
        <w:rPr>
          <w:rFonts w:ascii="Times New Roman" w:hAnsi="Times New Roman"/>
          <w:sz w:val="22"/>
          <w:szCs w:val="22"/>
        </w:rPr>
        <w:t xml:space="preserve">contractor </w:t>
      </w:r>
      <w:r w:rsidR="007115B4" w:rsidRPr="00773406">
        <w:rPr>
          <w:rFonts w:ascii="Times New Roman" w:hAnsi="Times New Roman"/>
          <w:sz w:val="22"/>
          <w:szCs w:val="22"/>
        </w:rPr>
        <w:t xml:space="preserve">will be fully responsible for any loss in transit and will also be responsible for safe delivery of the goods/stores in good </w:t>
      </w:r>
      <w:r w:rsidR="00F71D4C">
        <w:rPr>
          <w:rFonts w:ascii="Times New Roman" w:hAnsi="Times New Roman"/>
          <w:sz w:val="22"/>
          <w:szCs w:val="22"/>
        </w:rPr>
        <w:t>conditions at NIPHM</w:t>
      </w:r>
      <w:r w:rsidR="00D34CAC">
        <w:rPr>
          <w:rFonts w:ascii="Times New Roman" w:hAnsi="Times New Roman"/>
          <w:sz w:val="22"/>
          <w:szCs w:val="22"/>
        </w:rPr>
        <w:t>.</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Competent Authority reserves the right to reject </w:t>
      </w:r>
      <w:r w:rsidR="00A04505" w:rsidRPr="00773406">
        <w:rPr>
          <w:rFonts w:ascii="Times New Roman" w:hAnsi="Times New Roman"/>
          <w:sz w:val="22"/>
          <w:szCs w:val="22"/>
        </w:rPr>
        <w:t>any or all the tenders and annu</w:t>
      </w:r>
      <w:r w:rsidRPr="00773406">
        <w:rPr>
          <w:rFonts w:ascii="Times New Roman" w:hAnsi="Times New Roman"/>
          <w:sz w:val="22"/>
          <w:szCs w:val="22"/>
        </w:rPr>
        <w:t>l the bidding process at any time prior to award of Contract, without assigning any reason, without thereby incurring any liability to the affected Bidder or Bidders, and his decision will be final.</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sz w:val="22"/>
          <w:szCs w:val="22"/>
        </w:rPr>
      </w:pPr>
      <w:r w:rsidRPr="00773406">
        <w:rPr>
          <w:rFonts w:ascii="Times New Roman" w:hAnsi="Times New Roman"/>
          <w:b/>
          <w:sz w:val="22"/>
          <w:szCs w:val="22"/>
          <w:u w:val="single"/>
        </w:rPr>
        <w:t>Force Majeure conditions:</w:t>
      </w:r>
      <w:r w:rsidRPr="00773406">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115B4" w:rsidRPr="00773406" w:rsidRDefault="007115B4" w:rsidP="007115B4">
      <w:pPr>
        <w:pStyle w:val="NoSpacing"/>
        <w:ind w:left="720"/>
        <w:jc w:val="both"/>
        <w:rPr>
          <w:rFonts w:ascii="Times New Roman" w:hAnsi="Times New Roman"/>
          <w:b/>
          <w:sz w:val="22"/>
          <w:szCs w:val="22"/>
          <w:u w:val="single"/>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w:t>
      </w:r>
      <w:r w:rsidRPr="00773406">
        <w:rPr>
          <w:rFonts w:ascii="Times New Roman" w:hAnsi="Times New Roman"/>
          <w:sz w:val="22"/>
          <w:szCs w:val="22"/>
        </w:rPr>
        <w:lastRenderedPageBreak/>
        <w:t xml:space="preserve">the beginning and end of the above causes of delay within 10 (ten) days of occurrence and cessation of such Force Majeure conditions.  </w:t>
      </w:r>
    </w:p>
    <w:p w:rsidR="007115B4" w:rsidRPr="00773406" w:rsidRDefault="007115B4" w:rsidP="007115B4">
      <w:pPr>
        <w:pStyle w:val="NoSpacing"/>
        <w:ind w:left="720"/>
        <w:jc w:val="both"/>
        <w:rPr>
          <w:rFonts w:ascii="Times New Roman" w:hAnsi="Times New Roman"/>
          <w:sz w:val="22"/>
          <w:szCs w:val="22"/>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7115B4"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u w:val="single"/>
        </w:rPr>
        <w:t>Disputes and Arbitration:</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7115B4" w:rsidRPr="00773406"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rPr>
        <w:t>Jurisdiction:</w:t>
      </w:r>
      <w:r w:rsidRPr="00773406">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Assignment: </w:t>
      </w:r>
      <w:r w:rsidRPr="00773406">
        <w:rPr>
          <w:rFonts w:ascii="Times New Roman" w:hAnsi="Times New Roman"/>
          <w:sz w:val="22"/>
          <w:szCs w:val="22"/>
        </w:rPr>
        <w:t xml:space="preserve">The Supplier shall not assign, in whole or in part, its obligations to perform under the Contract, except with the Purchaser’s prior written consent.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Subcontracts: </w:t>
      </w:r>
      <w:r w:rsidRPr="00773406">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Governing Language:-</w:t>
      </w:r>
      <w:r w:rsidRPr="00773406">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Applicable Law:- </w:t>
      </w:r>
      <w:r w:rsidRPr="00773406">
        <w:rPr>
          <w:rFonts w:ascii="Times New Roman" w:hAnsi="Times New Roman"/>
          <w:sz w:val="22"/>
          <w:szCs w:val="22"/>
        </w:rPr>
        <w:t xml:space="preserve">The Contract shall be interpreted in accordance with the laws of the Union of India. </w:t>
      </w:r>
    </w:p>
    <w:p w:rsidR="007115B4"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Notices </w:t>
      </w:r>
    </w:p>
    <w:p w:rsidR="007115B4" w:rsidRPr="00773406" w:rsidRDefault="007115B4" w:rsidP="00C230FB">
      <w:pPr>
        <w:pStyle w:val="ListParagraph"/>
        <w:numPr>
          <w:ilvl w:val="0"/>
          <w:numId w:val="3"/>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7115B4" w:rsidRDefault="007115B4" w:rsidP="007115B4">
      <w:pPr>
        <w:pStyle w:val="ListParagraph"/>
        <w:autoSpaceDE w:val="0"/>
        <w:autoSpaceDN w:val="0"/>
        <w:adjustRightInd w:val="0"/>
        <w:ind w:firstLine="360"/>
        <w:rPr>
          <w:rFonts w:ascii="Times New Roman" w:hAnsi="Times New Roman"/>
          <w:sz w:val="22"/>
          <w:szCs w:val="22"/>
        </w:rPr>
      </w:pPr>
      <w:r w:rsidRPr="00773406">
        <w:rPr>
          <w:rFonts w:ascii="Times New Roman" w:hAnsi="Times New Roman"/>
          <w:sz w:val="22"/>
          <w:szCs w:val="22"/>
        </w:rPr>
        <w:t xml:space="preserve">National Institute of Plant Health Management Rajendranagar, Hyderabad -500030. </w:t>
      </w:r>
    </w:p>
    <w:p w:rsidR="007115B4" w:rsidRDefault="007115B4" w:rsidP="00C230FB">
      <w:pPr>
        <w:pStyle w:val="ListParagraph"/>
        <w:numPr>
          <w:ilvl w:val="0"/>
          <w:numId w:val="3"/>
        </w:numPr>
        <w:autoSpaceDE w:val="0"/>
        <w:autoSpaceDN w:val="0"/>
        <w:adjustRightInd w:val="0"/>
        <w:rPr>
          <w:rFonts w:ascii="Times New Roman" w:hAnsi="Times New Roman"/>
          <w:sz w:val="22"/>
          <w:szCs w:val="22"/>
        </w:rPr>
      </w:pPr>
      <w:r w:rsidRPr="00773406">
        <w:rPr>
          <w:rFonts w:ascii="Times New Roman" w:hAnsi="Times New Roman"/>
          <w:sz w:val="22"/>
          <w:szCs w:val="22"/>
        </w:rPr>
        <w:t xml:space="preserve">A notice shall be effective when delivered or on the notice’s effective date, whichever is later. </w:t>
      </w:r>
    </w:p>
    <w:p w:rsidR="007115B4" w:rsidRPr="00773406"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Taxes and Duties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Custom Duty shall be paid in Indian currency on submission of documentary evidence, only on the Foreign goods. GST will be paid in Indian currency.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Statutory variation in Custom Duty and GST on finished product within the original Delivery Period will be on purchaser’s account. </w:t>
      </w:r>
    </w:p>
    <w:p w:rsidR="007115B4" w:rsidRPr="001D3412"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D3412" w:rsidRPr="001D3412" w:rsidRDefault="001D3412" w:rsidP="001D3412">
      <w:pPr>
        <w:pStyle w:val="ListParagraph"/>
        <w:autoSpaceDE w:val="0"/>
        <w:autoSpaceDN w:val="0"/>
        <w:adjustRightInd w:val="0"/>
        <w:jc w:val="both"/>
        <w:rPr>
          <w:rFonts w:ascii="Times New Roman" w:hAnsi="Times New Roman"/>
          <w:b/>
          <w:bCs/>
          <w:sz w:val="22"/>
          <w:szCs w:val="22"/>
        </w:rPr>
      </w:pPr>
    </w:p>
    <w:p w:rsidR="001D3412" w:rsidRDefault="001D3412" w:rsidP="001D3412">
      <w:pPr>
        <w:pStyle w:val="ListParagraph"/>
        <w:numPr>
          <w:ilvl w:val="0"/>
          <w:numId w:val="17"/>
        </w:numPr>
        <w:autoSpaceDE w:val="0"/>
        <w:autoSpaceDN w:val="0"/>
        <w:adjustRightInd w:val="0"/>
        <w:jc w:val="both"/>
        <w:rPr>
          <w:rFonts w:ascii="Times New Roman" w:hAnsi="Times New Roman"/>
          <w:bCs/>
          <w:sz w:val="22"/>
          <w:szCs w:val="22"/>
        </w:rPr>
      </w:pPr>
      <w:r w:rsidRPr="001D3412">
        <w:rPr>
          <w:rFonts w:ascii="Times New Roman" w:hAnsi="Times New Roman"/>
          <w:bCs/>
          <w:sz w:val="22"/>
          <w:szCs w:val="22"/>
        </w:rPr>
        <w:t>The purchaser reserves its right to terminate the maintenance contract at any time aftergiving due notice without assigning any reason. The contractor will not be entitled to claim</w:t>
      </w:r>
      <w:r>
        <w:rPr>
          <w:rFonts w:ascii="Times New Roman" w:hAnsi="Times New Roman"/>
          <w:bCs/>
          <w:sz w:val="22"/>
          <w:szCs w:val="22"/>
        </w:rPr>
        <w:t xml:space="preserve"> any compensation </w:t>
      </w:r>
      <w:r w:rsidRPr="001D3412">
        <w:rPr>
          <w:rFonts w:ascii="Times New Roman" w:hAnsi="Times New Roman"/>
          <w:bCs/>
          <w:sz w:val="22"/>
          <w:szCs w:val="22"/>
        </w:rPr>
        <w:t>against such termination. However, while terminating the contract, if anypayment is due to the contractor for maintenance services already performed in terms of thecontract, these would be paid to it/him as per the contract terms.</w:t>
      </w:r>
    </w:p>
    <w:p w:rsidR="00653DBC" w:rsidRDefault="00653DBC" w:rsidP="00653DB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SECTION-V: STANDARD FORMATS</w:t>
      </w:r>
    </w:p>
    <w:p w:rsidR="00AE10F2" w:rsidRPr="00415625" w:rsidRDefault="00AE10F2" w:rsidP="00AE10F2">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t xml:space="preserve">Annexure – I </w:t>
      </w:r>
    </w:p>
    <w:p w:rsidR="00AE10F2" w:rsidRPr="00531082" w:rsidRDefault="00AE10F2" w:rsidP="00AE10F2">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AE10F2" w:rsidRPr="00531082" w:rsidRDefault="00AE10F2" w:rsidP="00AE10F2">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AE10F2" w:rsidRPr="00531082" w:rsidRDefault="00AE10F2" w:rsidP="00AE10F2">
      <w:pPr>
        <w:spacing w:line="240" w:lineRule="auto"/>
        <w:ind w:left="5040" w:firstLine="720"/>
        <w:jc w:val="center"/>
        <w:rPr>
          <w:rFonts w:ascii="Times New Roman" w:hAnsi="Times New Roman" w:cs="Times New Roman"/>
        </w:rPr>
      </w:pPr>
      <w:r w:rsidRPr="00531082">
        <w:rPr>
          <w:rFonts w:ascii="Times New Roman" w:hAnsi="Times New Roman" w:cs="Times New Roman"/>
        </w:rPr>
        <w:t>Date:_______________</w:t>
      </w:r>
    </w:p>
    <w:p w:rsidR="00AE10F2" w:rsidRPr="00531082" w:rsidRDefault="00AE10F2" w:rsidP="00AE10F2">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AE10F2" w:rsidRPr="00531082" w:rsidRDefault="00AE10F2" w:rsidP="00AE10F2">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AE10F2" w:rsidRDefault="00AE10F2" w:rsidP="00AE10F2">
      <w:pPr>
        <w:ind w:firstLine="720"/>
        <w:jc w:val="both"/>
      </w:pPr>
      <w:r w:rsidRPr="00531082">
        <w:rPr>
          <w:rFonts w:ascii="Times New Roman" w:hAnsi="Times New Roman" w:cs="Times New Roman"/>
        </w:rPr>
        <w:t>The items mentioned below are solely manufactured by us and not by anyone else in the entire world.</w:t>
      </w:r>
    </w:p>
    <w:tbl>
      <w:tblPr>
        <w:tblW w:w="6038"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
        <w:gridCol w:w="3573"/>
        <w:gridCol w:w="1756"/>
      </w:tblGrid>
      <w:tr w:rsidR="005123C4" w:rsidRPr="00D82147" w:rsidTr="005123C4">
        <w:trPr>
          <w:trHeight w:val="20"/>
          <w:jc w:val="center"/>
        </w:trPr>
        <w:tc>
          <w:tcPr>
            <w:tcW w:w="709" w:type="dxa"/>
            <w:tcMar>
              <w:top w:w="0" w:type="dxa"/>
              <w:left w:w="15" w:type="dxa"/>
              <w:bottom w:w="0" w:type="dxa"/>
              <w:right w:w="15" w:type="dxa"/>
            </w:tcMar>
            <w:vAlign w:val="cente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sz w:val="22"/>
                <w:szCs w:val="22"/>
                <w:lang w:bidi="hi-IN"/>
              </w:rPr>
              <w:t>Sl. No.</w:t>
            </w:r>
          </w:p>
        </w:tc>
        <w:tc>
          <w:tcPr>
            <w:tcW w:w="3573" w:type="dxa"/>
            <w:tcMar>
              <w:top w:w="0" w:type="dxa"/>
              <w:left w:w="15" w:type="dxa"/>
              <w:bottom w:w="0" w:type="dxa"/>
              <w:right w:w="15" w:type="dxa"/>
            </w:tcMar>
            <w:vAlign w:val="cente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Name of the Equipment</w:t>
            </w:r>
          </w:p>
        </w:tc>
        <w:tc>
          <w:tcPr>
            <w:tcW w:w="1756" w:type="dxa"/>
            <w:tcMar>
              <w:top w:w="0" w:type="dxa"/>
              <w:left w:w="15" w:type="dxa"/>
              <w:bottom w:w="0" w:type="dxa"/>
              <w:right w:w="15" w:type="dxa"/>
            </w:tcMar>
            <w:hideMark/>
          </w:tcPr>
          <w:p w:rsidR="005123C4" w:rsidRPr="00D82147" w:rsidRDefault="005123C4" w:rsidP="00F73AD3">
            <w:pPr>
              <w:pStyle w:val="NoSpacing"/>
              <w:jc w:val="center"/>
              <w:rPr>
                <w:rFonts w:ascii="Times New Roman" w:hAnsi="Times New Roman"/>
                <w:b/>
                <w:sz w:val="22"/>
                <w:szCs w:val="22"/>
                <w:lang w:bidi="hi-IN"/>
              </w:rPr>
            </w:pPr>
            <w:r w:rsidRPr="00D82147">
              <w:rPr>
                <w:rFonts w:ascii="Times New Roman" w:hAnsi="Times New Roman"/>
                <w:b/>
                <w:bCs/>
                <w:sz w:val="22"/>
                <w:szCs w:val="22"/>
                <w:lang w:bidi="hi-IN"/>
              </w:rPr>
              <w:t>No. of Equipment</w:t>
            </w:r>
          </w:p>
        </w:tc>
      </w:tr>
      <w:tr w:rsidR="005123C4" w:rsidRPr="00D82147" w:rsidTr="005123C4">
        <w:trPr>
          <w:trHeight w:val="50"/>
          <w:jc w:val="center"/>
        </w:trPr>
        <w:tc>
          <w:tcPr>
            <w:tcW w:w="709" w:type="dxa"/>
            <w:tcMar>
              <w:top w:w="0" w:type="dxa"/>
              <w:left w:w="15" w:type="dxa"/>
              <w:bottom w:w="0" w:type="dxa"/>
              <w:right w:w="15" w:type="dxa"/>
            </w:tcMar>
            <w:vAlign w:val="center"/>
            <w:hideMark/>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 xml:space="preserve">LC-MS/MS </w:t>
            </w:r>
          </w:p>
        </w:tc>
        <w:tc>
          <w:tcPr>
            <w:tcW w:w="1756" w:type="dxa"/>
            <w:tcMar>
              <w:top w:w="0" w:type="dxa"/>
              <w:left w:w="15" w:type="dxa"/>
              <w:bottom w:w="0" w:type="dxa"/>
              <w:right w:w="15" w:type="dxa"/>
            </w:tcMar>
          </w:tcPr>
          <w:p w:rsidR="005123C4" w:rsidRPr="00825BDE" w:rsidRDefault="005123C4" w:rsidP="00F33161">
            <w:pPr>
              <w:pStyle w:val="NoSpacing"/>
              <w:jc w:val="center"/>
              <w:rPr>
                <w:rFonts w:ascii="Times New Roman" w:hAnsi="Times New Roman"/>
                <w:szCs w:val="22"/>
              </w:rPr>
            </w:pPr>
            <w:r>
              <w:rPr>
                <w:rFonts w:ascii="Times New Roman" w:hAnsi="Times New Roman"/>
              </w:rPr>
              <w:t>2</w:t>
            </w:r>
          </w:p>
        </w:tc>
      </w:tr>
      <w:tr w:rsidR="005123C4" w:rsidRPr="00D82147" w:rsidTr="005123C4">
        <w:trPr>
          <w:trHeight w:val="50"/>
          <w:jc w:val="center"/>
        </w:trPr>
        <w:tc>
          <w:tcPr>
            <w:tcW w:w="709" w:type="dxa"/>
            <w:tcMar>
              <w:top w:w="0" w:type="dxa"/>
              <w:left w:w="15" w:type="dxa"/>
              <w:bottom w:w="0" w:type="dxa"/>
              <w:right w:w="15" w:type="dxa"/>
            </w:tcMar>
            <w:vAlign w:val="center"/>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 xml:space="preserve">HPLC-PDA </w:t>
            </w:r>
          </w:p>
        </w:tc>
        <w:tc>
          <w:tcPr>
            <w:tcW w:w="1756" w:type="dxa"/>
            <w:tcMar>
              <w:top w:w="0" w:type="dxa"/>
              <w:left w:w="15" w:type="dxa"/>
              <w:bottom w:w="0" w:type="dxa"/>
              <w:right w:w="15" w:type="dxa"/>
            </w:tcMar>
          </w:tcPr>
          <w:p w:rsidR="005123C4" w:rsidRDefault="005123C4" w:rsidP="00F33161">
            <w:pPr>
              <w:pStyle w:val="NoSpacing"/>
              <w:jc w:val="center"/>
              <w:rPr>
                <w:rFonts w:ascii="Times New Roman" w:hAnsi="Times New Roman"/>
              </w:rPr>
            </w:pPr>
            <w:r>
              <w:rPr>
                <w:rFonts w:ascii="Times New Roman" w:hAnsi="Times New Roman"/>
              </w:rPr>
              <w:t>1</w:t>
            </w:r>
          </w:p>
        </w:tc>
      </w:tr>
      <w:tr w:rsidR="005123C4" w:rsidRPr="00D82147" w:rsidTr="005123C4">
        <w:trPr>
          <w:trHeight w:val="50"/>
          <w:jc w:val="center"/>
        </w:trPr>
        <w:tc>
          <w:tcPr>
            <w:tcW w:w="709" w:type="dxa"/>
            <w:tcMar>
              <w:top w:w="0" w:type="dxa"/>
              <w:left w:w="15" w:type="dxa"/>
              <w:bottom w:w="0" w:type="dxa"/>
              <w:right w:w="15" w:type="dxa"/>
            </w:tcMar>
            <w:vAlign w:val="center"/>
          </w:tcPr>
          <w:p w:rsidR="005123C4" w:rsidRPr="00D82147" w:rsidRDefault="005123C4" w:rsidP="00AE10F2">
            <w:pPr>
              <w:pStyle w:val="NoSpacing"/>
              <w:numPr>
                <w:ilvl w:val="0"/>
                <w:numId w:val="33"/>
              </w:numPr>
              <w:rPr>
                <w:rFonts w:ascii="Times New Roman" w:hAnsi="Times New Roman"/>
                <w:sz w:val="22"/>
                <w:szCs w:val="22"/>
                <w:lang w:bidi="hi-IN"/>
              </w:rPr>
            </w:pPr>
          </w:p>
        </w:tc>
        <w:tc>
          <w:tcPr>
            <w:tcW w:w="3573" w:type="dxa"/>
            <w:tcMar>
              <w:top w:w="0" w:type="dxa"/>
              <w:left w:w="15" w:type="dxa"/>
              <w:bottom w:w="0" w:type="dxa"/>
              <w:right w:w="15" w:type="dxa"/>
            </w:tcMar>
          </w:tcPr>
          <w:p w:rsidR="005123C4" w:rsidRPr="00FE1045" w:rsidRDefault="005123C4" w:rsidP="00F73AD3">
            <w:pPr>
              <w:pStyle w:val="NoSpacing"/>
              <w:jc w:val="both"/>
              <w:rPr>
                <w:rFonts w:ascii="Times New Roman" w:hAnsi="Times New Roman"/>
                <w:lang w:val="en-IN"/>
              </w:rPr>
            </w:pPr>
            <w:r w:rsidRPr="00FE1045">
              <w:rPr>
                <w:rFonts w:ascii="Times New Roman" w:hAnsi="Times New Roman"/>
                <w:lang w:val="en-IN"/>
              </w:rPr>
              <w:t>HPLC-UV-VIS</w:t>
            </w:r>
          </w:p>
        </w:tc>
        <w:tc>
          <w:tcPr>
            <w:tcW w:w="1756" w:type="dxa"/>
            <w:tcMar>
              <w:top w:w="0" w:type="dxa"/>
              <w:left w:w="15" w:type="dxa"/>
              <w:bottom w:w="0" w:type="dxa"/>
              <w:right w:w="15" w:type="dxa"/>
            </w:tcMar>
          </w:tcPr>
          <w:p w:rsidR="005123C4" w:rsidRDefault="005123C4" w:rsidP="00F33161">
            <w:pPr>
              <w:pStyle w:val="NoSpacing"/>
              <w:jc w:val="center"/>
              <w:rPr>
                <w:rFonts w:ascii="Times New Roman" w:hAnsi="Times New Roman"/>
              </w:rPr>
            </w:pPr>
            <w:r>
              <w:rPr>
                <w:rFonts w:ascii="Times New Roman" w:hAnsi="Times New Roman"/>
              </w:rPr>
              <w:t>1</w:t>
            </w:r>
          </w:p>
        </w:tc>
      </w:tr>
    </w:tbl>
    <w:p w:rsidR="00AE10F2" w:rsidRPr="00531082" w:rsidRDefault="00AE10F2" w:rsidP="00AE10F2">
      <w:pPr>
        <w:rPr>
          <w:rFonts w:ascii="Times New Roman" w:hAnsi="Times New Roman" w:cs="Times New Roman"/>
        </w:rPr>
      </w:pPr>
    </w:p>
    <w:p w:rsidR="00AE10F2" w:rsidRPr="00531082" w:rsidRDefault="00AE10F2" w:rsidP="00AE10F2">
      <w:pPr>
        <w:spacing w:line="240" w:lineRule="auto"/>
        <w:rPr>
          <w:rFonts w:ascii="Times New Roman" w:hAnsi="Times New Roman" w:cs="Times New Roman"/>
        </w:rPr>
      </w:pPr>
      <w:r w:rsidRPr="00531082">
        <w:rPr>
          <w:rFonts w:ascii="Times New Roman" w:hAnsi="Times New Roman" w:cs="Times New Roman"/>
        </w:rPr>
        <w:t xml:space="preserve">Thanking you, </w:t>
      </w:r>
    </w:p>
    <w:p w:rsidR="00AE10F2" w:rsidRPr="00531082" w:rsidRDefault="00AE10F2" w:rsidP="00AE10F2">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AE10F2" w:rsidRPr="00531082" w:rsidRDefault="00AE10F2" w:rsidP="00AE10F2">
      <w:pPr>
        <w:spacing w:line="240" w:lineRule="auto"/>
        <w:rPr>
          <w:rFonts w:ascii="Times New Roman" w:hAnsi="Times New Roman" w:cs="Times New Roman"/>
        </w:rPr>
      </w:pPr>
    </w:p>
    <w:p w:rsidR="00AE10F2" w:rsidRPr="00531082" w:rsidRDefault="00AE10F2" w:rsidP="00AE10F2">
      <w:pPr>
        <w:spacing w:line="240" w:lineRule="auto"/>
        <w:rPr>
          <w:rFonts w:ascii="Times New Roman" w:hAnsi="Times New Roman" w:cs="Times New Roman"/>
        </w:rPr>
      </w:pPr>
      <w:r w:rsidRPr="00531082">
        <w:rPr>
          <w:rFonts w:ascii="Times New Roman" w:hAnsi="Times New Roman" w:cs="Times New Roman"/>
        </w:rPr>
        <w:t>(Company Name)</w:t>
      </w:r>
    </w:p>
    <w:p w:rsidR="00AE10F2" w:rsidRPr="00D82147" w:rsidRDefault="00AE10F2" w:rsidP="00AE10F2">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Pr="00D82147">
        <w:rPr>
          <w:rFonts w:ascii="Times New Roman" w:hAnsi="Times New Roman" w:cs="Times New Roman"/>
          <w:b/>
          <w:bCs/>
          <w:color w:val="000000"/>
          <w:lang w:val="en-IN"/>
        </w:rPr>
        <w:br w:type="page"/>
      </w:r>
    </w:p>
    <w:p w:rsidR="00AE10F2" w:rsidRPr="00531082" w:rsidRDefault="00AE10F2" w:rsidP="00AE10F2">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AE10F2" w:rsidRPr="00531082" w:rsidRDefault="00AE10F2" w:rsidP="00AE10F2">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AE10F2" w:rsidRPr="00531082" w:rsidRDefault="00AE10F2" w:rsidP="00AE10F2">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AE10F2" w:rsidRPr="00531082" w:rsidRDefault="00AE10F2" w:rsidP="00AE10F2">
      <w:pPr>
        <w:autoSpaceDE w:val="0"/>
        <w:autoSpaceDN w:val="0"/>
        <w:adjustRightInd w:val="0"/>
        <w:spacing w:after="0" w:line="240" w:lineRule="auto"/>
        <w:jc w:val="both"/>
        <w:rPr>
          <w:rFonts w:ascii="Times New Roman" w:hAnsi="Times New Roman" w:cs="Times New Roman"/>
          <w:color w:val="000000"/>
          <w:sz w:val="24"/>
          <w:szCs w:val="24"/>
          <w:lang w:val="en-IN"/>
        </w:rPr>
      </w:pPr>
    </w:p>
    <w:p w:rsidR="00AE10F2" w:rsidRPr="00531082" w:rsidRDefault="00AE10F2" w:rsidP="00AE10F2">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AE10F2" w:rsidRPr="00D82147" w:rsidRDefault="00AE10F2" w:rsidP="00AE10F2">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AE10F2" w:rsidRPr="00415625" w:rsidRDefault="00AE10F2" w:rsidP="00AE10F2">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E10F2" w:rsidRPr="00C92350" w:rsidRDefault="00AE10F2" w:rsidP="00AE10F2">
      <w:pPr>
        <w:pStyle w:val="NoSpacing"/>
        <w:jc w:val="center"/>
        <w:rPr>
          <w:rFonts w:ascii="Times New Roman" w:hAnsi="Times New Roman"/>
          <w:b/>
        </w:rPr>
      </w:pPr>
      <w:r w:rsidRPr="00C92350">
        <w:rPr>
          <w:rFonts w:ascii="Times New Roman" w:hAnsi="Times New Roman"/>
          <w:b/>
        </w:rPr>
        <w:t>TENDER ACCEPTANCE LETTER</w:t>
      </w:r>
    </w:p>
    <w:p w:rsidR="00AE10F2" w:rsidRPr="00C92350" w:rsidRDefault="00AE10F2" w:rsidP="00AE10F2">
      <w:pPr>
        <w:pStyle w:val="NoSpacing"/>
        <w:jc w:val="center"/>
        <w:rPr>
          <w:rFonts w:ascii="Times New Roman" w:hAnsi="Times New Roman"/>
          <w:b/>
        </w:rPr>
      </w:pPr>
      <w:r w:rsidRPr="00C92350">
        <w:rPr>
          <w:rFonts w:ascii="Times New Roman" w:hAnsi="Times New Roman"/>
          <w:b/>
        </w:rPr>
        <w:t>(To be given on Company Letter Head)</w:t>
      </w:r>
    </w:p>
    <w:p w:rsidR="00AE10F2" w:rsidRDefault="00AE10F2" w:rsidP="00AE10F2">
      <w:pPr>
        <w:pStyle w:val="NoSpacing"/>
        <w:rPr>
          <w:rFonts w:ascii="Times New Roman" w:hAnsi="Times New Roman"/>
        </w:rPr>
      </w:pPr>
    </w:p>
    <w:p w:rsidR="00AE10F2" w:rsidRDefault="00AE10F2" w:rsidP="00AE10F2">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E10F2" w:rsidRDefault="00AE10F2" w:rsidP="00AE10F2">
      <w:pPr>
        <w:pStyle w:val="NoSpacing"/>
        <w:rPr>
          <w:rFonts w:ascii="Times New Roman" w:hAnsi="Times New Roman"/>
        </w:rPr>
      </w:pPr>
      <w:r w:rsidRPr="001B6B66">
        <w:rPr>
          <w:rFonts w:ascii="Times New Roman" w:hAnsi="Times New Roman"/>
        </w:rPr>
        <w:t xml:space="preserve">To, </w:t>
      </w:r>
    </w:p>
    <w:p w:rsidR="00AE10F2" w:rsidRDefault="00AE10F2" w:rsidP="00AE10F2">
      <w:pPr>
        <w:pStyle w:val="NoSpacing"/>
        <w:rPr>
          <w:rFonts w:ascii="Times New Roman" w:hAnsi="Times New Roman"/>
        </w:rPr>
      </w:pPr>
      <w:r>
        <w:rPr>
          <w:rFonts w:ascii="Times New Roman" w:hAnsi="Times New Roman"/>
        </w:rPr>
        <w:t>The Registrar,</w:t>
      </w:r>
    </w:p>
    <w:p w:rsidR="00AE10F2" w:rsidRDefault="00AE10F2" w:rsidP="00AE10F2">
      <w:pPr>
        <w:pStyle w:val="NoSpacing"/>
        <w:rPr>
          <w:rFonts w:ascii="Times New Roman" w:hAnsi="Times New Roman"/>
        </w:rPr>
      </w:pPr>
      <w:r>
        <w:rPr>
          <w:rFonts w:ascii="Times New Roman" w:hAnsi="Times New Roman"/>
        </w:rPr>
        <w:t>National Institute of Plant Health Management (NIPHM),</w:t>
      </w:r>
    </w:p>
    <w:p w:rsidR="00AE10F2" w:rsidRDefault="00AE10F2" w:rsidP="00AE10F2">
      <w:pPr>
        <w:pStyle w:val="NoSpacing"/>
        <w:rPr>
          <w:rFonts w:ascii="Times New Roman" w:hAnsi="Times New Roman"/>
        </w:rPr>
      </w:pPr>
      <w:r>
        <w:rPr>
          <w:rFonts w:ascii="Times New Roman" w:hAnsi="Times New Roman"/>
        </w:rPr>
        <w:t>Rajendranagar,</w:t>
      </w:r>
    </w:p>
    <w:p w:rsidR="00AE10F2" w:rsidRDefault="00AE10F2" w:rsidP="00AE10F2">
      <w:pPr>
        <w:pStyle w:val="NoSpacing"/>
        <w:rPr>
          <w:rFonts w:ascii="Times New Roman" w:hAnsi="Times New Roman"/>
        </w:rPr>
      </w:pPr>
      <w:r>
        <w:rPr>
          <w:rFonts w:ascii="Times New Roman" w:hAnsi="Times New Roman"/>
        </w:rPr>
        <w:t>Hyderabad – 500 030</w:t>
      </w:r>
    </w:p>
    <w:p w:rsidR="00AE10F2" w:rsidRDefault="00AE10F2" w:rsidP="00AE10F2">
      <w:pPr>
        <w:pStyle w:val="NoSpacing"/>
        <w:rPr>
          <w:rFonts w:ascii="Times New Roman" w:hAnsi="Times New Roman"/>
        </w:rPr>
      </w:pPr>
    </w:p>
    <w:p w:rsidR="00AE10F2" w:rsidRDefault="00AE10F2" w:rsidP="00AE10F2">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005123C4">
        <w:rPr>
          <w:rFonts w:ascii="Times New Roman" w:hAnsi="Times New Roman"/>
        </w:rPr>
        <w:tab/>
      </w:r>
      <w:r w:rsidRPr="001B6B66">
        <w:rPr>
          <w:rFonts w:ascii="Times New Roman" w:hAnsi="Times New Roman"/>
        </w:rPr>
        <w:t xml:space="preserve">Acceptance of Terms &amp; Conditions of Tender. </w:t>
      </w:r>
    </w:p>
    <w:p w:rsidR="00AE10F2" w:rsidRPr="00DA564D" w:rsidRDefault="00AE10F2" w:rsidP="00AE10F2">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5123C4">
        <w:rPr>
          <w:rFonts w:ascii="Times New Roman" w:hAnsi="Times New Roman"/>
          <w:color w:val="FF0000"/>
        </w:rPr>
        <w:tab/>
      </w:r>
      <w:r w:rsidRPr="00D82147">
        <w:rPr>
          <w:rFonts w:ascii="Times New Roman" w:hAnsi="Times New Roman"/>
          <w:bCs/>
        </w:rPr>
        <w:t xml:space="preserve">F. No. </w:t>
      </w:r>
      <w:r w:rsidR="005123C4">
        <w:rPr>
          <w:rFonts w:ascii="Times New Roman" w:hAnsi="Times New Roman"/>
          <w:bCs/>
        </w:rPr>
        <w:t>PROCOREPA/1/2020-SO RNMA2</w:t>
      </w:r>
    </w:p>
    <w:p w:rsidR="00AE10F2" w:rsidRDefault="00AE10F2" w:rsidP="00AE10F2">
      <w:pPr>
        <w:pStyle w:val="NoSpacing"/>
        <w:jc w:val="center"/>
        <w:rPr>
          <w:rFonts w:ascii="Times New Roman" w:hAnsi="Times New Roman"/>
        </w:rPr>
      </w:pPr>
      <w:r>
        <w:rPr>
          <w:rFonts w:ascii="Times New Roman" w:hAnsi="Times New Roman"/>
        </w:rPr>
        <w:t>***</w:t>
      </w:r>
    </w:p>
    <w:p w:rsidR="00AE10F2" w:rsidRDefault="00AE10F2" w:rsidP="00AE10F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5123C4">
        <w:rPr>
          <w:rFonts w:ascii="Times New Roman" w:hAnsi="Times New Roman"/>
          <w:color w:val="FF0000"/>
        </w:rPr>
        <w:t>AMC Services for a period of TWO years</w:t>
      </w:r>
    </w:p>
    <w:p w:rsidR="00AE10F2" w:rsidRPr="00DA564D" w:rsidRDefault="00AE10F2" w:rsidP="00AE10F2">
      <w:pPr>
        <w:pStyle w:val="NoSpacing"/>
        <w:rPr>
          <w:rFonts w:ascii="Times New Roman" w:hAnsi="Times New Roman"/>
          <w:color w:val="FF0000"/>
        </w:rPr>
      </w:pPr>
    </w:p>
    <w:p w:rsidR="00AE10F2" w:rsidRDefault="00AE10F2" w:rsidP="00AE10F2">
      <w:pPr>
        <w:pStyle w:val="NoSpacing"/>
        <w:rPr>
          <w:rFonts w:ascii="Times New Roman" w:hAnsi="Times New Roman"/>
        </w:rPr>
      </w:pPr>
      <w:r w:rsidRPr="001B6B66">
        <w:rPr>
          <w:rFonts w:ascii="Times New Roman" w:hAnsi="Times New Roman"/>
        </w:rPr>
        <w:t xml:space="preserve">Dear Sir,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E10F2" w:rsidRDefault="00065191" w:rsidP="00AE10F2">
      <w:pPr>
        <w:pStyle w:val="NoSpacing"/>
        <w:rPr>
          <w:rFonts w:ascii="Times New Roman" w:hAnsi="Times New Roman"/>
        </w:rPr>
      </w:pPr>
      <w:r>
        <w:rPr>
          <w:rFonts w:ascii="Times New Roman" w:hAnsi="Times New Roman"/>
        </w:rPr>
        <w:t xml:space="preserve"> (a</w:t>
      </w:r>
      <w:r w:rsidR="00AE10F2">
        <w:rPr>
          <w:rFonts w:ascii="Times New Roman" w:hAnsi="Times New Roman"/>
        </w:rPr>
        <w:t xml:space="preserve">) </w:t>
      </w:r>
      <w:hyperlink r:id="rId14" w:history="1">
        <w:r w:rsidR="00AE10F2" w:rsidRPr="001D5260">
          <w:rPr>
            <w:rStyle w:val="Hyperlink"/>
            <w:rFonts w:ascii="Times New Roman" w:hAnsi="Times New Roman"/>
          </w:rPr>
          <w:t>www.niphm.gov.in</w:t>
        </w:r>
      </w:hyperlink>
    </w:p>
    <w:p w:rsidR="00AE10F2" w:rsidRDefault="00AE10F2" w:rsidP="00AE10F2">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Page No. 1 to 1</w:t>
      </w:r>
      <w:r w:rsidR="00065191">
        <w:rPr>
          <w:rFonts w:ascii="Times New Roman" w:hAnsi="Times New Roman"/>
        </w:rPr>
        <w:t>3</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3. The corrigendum(s) issued from time to time by your department/ </w:t>
      </w:r>
      <w:r w:rsidR="00065191" w:rsidRPr="001B6B66">
        <w:rPr>
          <w:rFonts w:ascii="Times New Roman" w:hAnsi="Times New Roman"/>
        </w:rPr>
        <w:t>organisation too has</w:t>
      </w:r>
      <w:r w:rsidRPr="001B6B66">
        <w:rPr>
          <w:rFonts w:ascii="Times New Roman" w:hAnsi="Times New Roman"/>
        </w:rPr>
        <w:t xml:space="preserve"> also been taken into consideration, while submitting this acceptance letter.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E10F2" w:rsidRDefault="00AE10F2" w:rsidP="00AE10F2">
      <w:pPr>
        <w:pStyle w:val="NoSpacing"/>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E10F2" w:rsidRDefault="00AE10F2" w:rsidP="00AE10F2">
      <w:pPr>
        <w:pStyle w:val="NoSpacing"/>
        <w:jc w:val="both"/>
        <w:rPr>
          <w:rFonts w:ascii="Times New Roman" w:hAnsi="Times New Roman"/>
        </w:rPr>
      </w:pPr>
    </w:p>
    <w:p w:rsidR="00AE10F2" w:rsidRDefault="00AE10F2" w:rsidP="00AE10F2">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E10F2" w:rsidRDefault="00AE10F2" w:rsidP="00AE10F2">
      <w:pPr>
        <w:pStyle w:val="NoSpacing"/>
        <w:jc w:val="both"/>
        <w:rPr>
          <w:rFonts w:ascii="Times New Roman" w:hAnsi="Times New Roman"/>
        </w:rPr>
      </w:pPr>
    </w:p>
    <w:p w:rsidR="00AE10F2" w:rsidRDefault="00AE10F2" w:rsidP="00AE10F2">
      <w:pPr>
        <w:pStyle w:val="NoSpacing"/>
        <w:jc w:val="right"/>
        <w:rPr>
          <w:rFonts w:ascii="Times New Roman" w:hAnsi="Times New Roman"/>
        </w:rPr>
      </w:pPr>
      <w:r w:rsidRPr="001B6B66">
        <w:rPr>
          <w:rFonts w:ascii="Times New Roman" w:hAnsi="Times New Roman"/>
        </w:rPr>
        <w:t xml:space="preserve">Yours Faithfully, </w:t>
      </w:r>
    </w:p>
    <w:p w:rsidR="00AE10F2" w:rsidRDefault="00AE10F2" w:rsidP="00AE10F2">
      <w:pPr>
        <w:pStyle w:val="NoSpacing"/>
        <w:jc w:val="right"/>
        <w:rPr>
          <w:rFonts w:ascii="Times New Roman" w:hAnsi="Times New Roman"/>
        </w:rPr>
      </w:pPr>
    </w:p>
    <w:p w:rsidR="00AE10F2" w:rsidRDefault="00AE10F2" w:rsidP="00AE10F2">
      <w:pPr>
        <w:pStyle w:val="NoSpacing"/>
        <w:jc w:val="right"/>
        <w:rPr>
          <w:rFonts w:ascii="Times New Roman" w:hAnsi="Times New Roman"/>
        </w:rPr>
      </w:pPr>
    </w:p>
    <w:p w:rsidR="00AE10F2" w:rsidRDefault="00AE10F2" w:rsidP="00AE10F2">
      <w:pPr>
        <w:pStyle w:val="NoSpacing"/>
        <w:jc w:val="right"/>
        <w:rPr>
          <w:rFonts w:ascii="Times New Roman" w:hAnsi="Times New Roman"/>
        </w:rPr>
      </w:pPr>
    </w:p>
    <w:p w:rsidR="00AE10F2" w:rsidRPr="00A7265C" w:rsidRDefault="00AE10F2" w:rsidP="00AE10F2">
      <w:pPr>
        <w:pStyle w:val="NoSpacing"/>
        <w:jc w:val="right"/>
        <w:rPr>
          <w:rFonts w:ascii="Times New Roman" w:hAnsi="Times New Roman"/>
          <w:b/>
        </w:rPr>
      </w:pPr>
      <w:r w:rsidRPr="00005EEF">
        <w:rPr>
          <w:rFonts w:ascii="Times New Roman" w:hAnsi="Times New Roman"/>
          <w:b/>
        </w:rPr>
        <w:t>(Signature of the Bidder, with Official Seal)</w:t>
      </w:r>
      <w:r>
        <w:rPr>
          <w:rFonts w:ascii="Times New Roman" w:hAnsi="Times New Roman"/>
          <w:b/>
          <w:bCs/>
          <w:color w:val="000000"/>
          <w:u w:val="single"/>
          <w:lang w:val="en-IN"/>
        </w:rPr>
        <w:br w:type="page"/>
      </w:r>
    </w:p>
    <w:p w:rsidR="00AE10F2" w:rsidRDefault="00653DBC" w:rsidP="00AE10F2">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SECTION-VI: </w:t>
      </w:r>
      <w:r w:rsidR="00AE10F2">
        <w:rPr>
          <w:rFonts w:ascii="Times New Roman" w:hAnsi="Times New Roman" w:cs="Times New Roman"/>
          <w:b/>
          <w:bCs/>
          <w:color w:val="000000"/>
          <w:u w:val="single"/>
          <w:lang w:val="en-IN"/>
        </w:rPr>
        <w:t>C</w:t>
      </w:r>
      <w:r w:rsidR="00AE10F2" w:rsidRPr="00D82147">
        <w:rPr>
          <w:rFonts w:ascii="Times New Roman" w:hAnsi="Times New Roman" w:cs="Times New Roman"/>
          <w:b/>
          <w:bCs/>
          <w:color w:val="000000"/>
          <w:u w:val="single"/>
          <w:lang w:val="en-IN"/>
        </w:rPr>
        <w:t xml:space="preserve">HECKLIST OF DOCUMENTS </w:t>
      </w:r>
    </w:p>
    <w:p w:rsidR="00AE10F2" w:rsidRDefault="00AE10F2" w:rsidP="00AE10F2">
      <w:pPr>
        <w:autoSpaceDE w:val="0"/>
        <w:autoSpaceDN w:val="0"/>
        <w:adjustRightInd w:val="0"/>
        <w:spacing w:after="0" w:line="240" w:lineRule="auto"/>
        <w:jc w:val="center"/>
        <w:rPr>
          <w:rFonts w:ascii="Times New Roman" w:hAnsi="Times New Roman" w:cs="Times New Roman"/>
          <w:b/>
          <w:bCs/>
          <w:color w:val="000000"/>
          <w:u w:val="single"/>
          <w:lang w:val="en-IN"/>
        </w:rPr>
      </w:pPr>
    </w:p>
    <w:p w:rsidR="00AE10F2" w:rsidRDefault="00AE10F2" w:rsidP="00AE10F2">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AE10F2" w:rsidRDefault="00AE10F2" w:rsidP="00AE10F2">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AE10F2" w:rsidRPr="005C6C0C" w:rsidTr="00F73AD3">
        <w:tc>
          <w:tcPr>
            <w:tcW w:w="852" w:type="dxa"/>
          </w:tcPr>
          <w:p w:rsidR="00AE10F2" w:rsidRPr="005C6C0C" w:rsidRDefault="00AE10F2" w:rsidP="00F73AD3">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AE10F2" w:rsidRPr="005C6C0C" w:rsidRDefault="00AE10F2" w:rsidP="00F73AD3">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AE10F2" w:rsidRPr="005C6C0C" w:rsidRDefault="00AE10F2" w:rsidP="00F73AD3">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Tick in the box below after enclosing the document</w:t>
            </w:r>
          </w:p>
        </w:tc>
      </w:tr>
      <w:tr w:rsidR="00AE10F2" w:rsidRPr="005C6C0C" w:rsidTr="00F73AD3">
        <w:trPr>
          <w:trHeight w:val="53"/>
        </w:trPr>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Quotation of the agency </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rPr>
          <w:trHeight w:val="50"/>
        </w:trPr>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case of Authorized Dealer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Annexure-II</w:t>
            </w:r>
            <w:r>
              <w:rPr>
                <w:rFonts w:ascii="Times New Roman" w:hAnsi="Times New Roman"/>
                <w:b/>
                <w:bCs/>
                <w:color w:val="000000"/>
                <w:sz w:val="24"/>
                <w:szCs w:val="24"/>
                <w:lang w:val="en-IN"/>
              </w:rPr>
              <w:t>)</w:t>
            </w:r>
            <w:r>
              <w:rPr>
                <w:rFonts w:ascii="Times New Roman" w:hAnsi="Times New Roman"/>
                <w:bCs/>
                <w:color w:val="000000"/>
                <w:sz w:val="24"/>
                <w:szCs w:val="24"/>
                <w:lang w:val="en-IN"/>
              </w:rPr>
              <w: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r w:rsidR="00AE10F2" w:rsidRPr="005C6C0C" w:rsidTr="00F73AD3">
        <w:tc>
          <w:tcPr>
            <w:tcW w:w="852" w:type="dxa"/>
          </w:tcPr>
          <w:p w:rsidR="00AE10F2" w:rsidRPr="005C6C0C" w:rsidRDefault="00AE10F2" w:rsidP="00AE10F2">
            <w:pPr>
              <w:pStyle w:val="ListParagraph"/>
              <w:numPr>
                <w:ilvl w:val="0"/>
                <w:numId w:val="32"/>
              </w:numPr>
              <w:autoSpaceDE w:val="0"/>
              <w:autoSpaceDN w:val="0"/>
              <w:adjustRightInd w:val="0"/>
              <w:rPr>
                <w:rFonts w:ascii="Times New Roman" w:hAnsi="Times New Roman"/>
                <w:bCs/>
                <w:color w:val="000000"/>
                <w:lang w:val="en-IN"/>
              </w:rPr>
            </w:pPr>
          </w:p>
        </w:tc>
        <w:tc>
          <w:tcPr>
            <w:tcW w:w="7512" w:type="dxa"/>
          </w:tcPr>
          <w:p w:rsidR="00AE10F2" w:rsidRPr="005C6C0C" w:rsidRDefault="00AE10F2" w:rsidP="00F73AD3">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 (</w:t>
            </w:r>
            <w:r w:rsidRPr="005C6C0C">
              <w:rPr>
                <w:rFonts w:ascii="Times New Roman" w:hAnsi="Times New Roman"/>
                <w:b/>
                <w:bCs/>
                <w:color w:val="000000"/>
                <w:sz w:val="24"/>
                <w:szCs w:val="24"/>
                <w:lang w:val="en-IN"/>
              </w:rPr>
              <w:t>Annexure-III</w:t>
            </w:r>
            <w:r w:rsidRPr="005C6C0C">
              <w:rPr>
                <w:rFonts w:ascii="Times New Roman" w:hAnsi="Times New Roman"/>
                <w:bCs/>
                <w:color w:val="000000"/>
                <w:sz w:val="24"/>
                <w:szCs w:val="24"/>
                <w:lang w:val="en-IN"/>
              </w:rPr>
              <w:t>)</w:t>
            </w:r>
          </w:p>
        </w:tc>
        <w:tc>
          <w:tcPr>
            <w:tcW w:w="1703" w:type="dxa"/>
          </w:tcPr>
          <w:p w:rsidR="00AE10F2" w:rsidRPr="005C6C0C" w:rsidRDefault="00AE10F2" w:rsidP="00F73AD3">
            <w:pPr>
              <w:autoSpaceDE w:val="0"/>
              <w:autoSpaceDN w:val="0"/>
              <w:adjustRightInd w:val="0"/>
              <w:rPr>
                <w:rFonts w:ascii="Times New Roman" w:hAnsi="Times New Roman"/>
                <w:b/>
                <w:bCs/>
                <w:color w:val="000000"/>
                <w:sz w:val="24"/>
                <w:szCs w:val="24"/>
                <w:u w:val="single"/>
                <w:lang w:val="en-IN"/>
              </w:rPr>
            </w:pPr>
          </w:p>
        </w:tc>
      </w:tr>
    </w:tbl>
    <w:p w:rsidR="00AE10F2" w:rsidRDefault="00AE10F2" w:rsidP="00AE10F2">
      <w:pPr>
        <w:autoSpaceDE w:val="0"/>
        <w:autoSpaceDN w:val="0"/>
        <w:adjustRightInd w:val="0"/>
        <w:spacing w:after="0" w:line="240" w:lineRule="auto"/>
        <w:rPr>
          <w:rFonts w:ascii="Times New Roman" w:hAnsi="Times New Roman" w:cs="Times New Roman"/>
          <w:b/>
          <w:bCs/>
          <w:color w:val="000000"/>
          <w:u w:val="single"/>
          <w:lang w:val="en-IN"/>
        </w:rPr>
      </w:pPr>
    </w:p>
    <w:p w:rsidR="00AE10F2" w:rsidRPr="00D82147" w:rsidRDefault="00AE10F2" w:rsidP="00AE10F2">
      <w:pPr>
        <w:jc w:val="center"/>
        <w:rPr>
          <w:rFonts w:ascii="Times New Roman" w:hAnsi="Times New Roman" w:cs="Times New Roman"/>
        </w:rPr>
      </w:pPr>
      <w:r w:rsidRPr="00D82147">
        <w:rPr>
          <w:rFonts w:ascii="Times New Roman" w:hAnsi="Times New Roman" w:cs="Times New Roman"/>
          <w:bCs/>
          <w:color w:val="000000"/>
          <w:lang w:bidi="hi-IN"/>
        </w:rPr>
        <w:t>~~~</w:t>
      </w:r>
    </w:p>
    <w:p w:rsidR="00AE10F2" w:rsidRPr="00AE10F2" w:rsidRDefault="00AE10F2" w:rsidP="00AE10F2">
      <w:pPr>
        <w:autoSpaceDE w:val="0"/>
        <w:autoSpaceDN w:val="0"/>
        <w:adjustRightInd w:val="0"/>
        <w:ind w:left="284"/>
        <w:jc w:val="both"/>
        <w:rPr>
          <w:rFonts w:ascii="Times New Roman" w:hAnsi="Times New Roman"/>
          <w:bCs/>
        </w:rPr>
      </w:pPr>
    </w:p>
    <w:sectPr w:rsidR="00AE10F2" w:rsidRPr="00AE10F2" w:rsidSect="00B2100D">
      <w:footerReference w:type="default" r:id="rId15"/>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47" w:rsidRDefault="00467847" w:rsidP="003A7CC6">
      <w:pPr>
        <w:spacing w:after="0" w:line="240" w:lineRule="auto"/>
      </w:pPr>
      <w:r>
        <w:separator/>
      </w:r>
    </w:p>
  </w:endnote>
  <w:endnote w:type="continuationSeparator" w:id="1">
    <w:p w:rsidR="00467847" w:rsidRDefault="00467847"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E2" w:rsidRDefault="00151FE2">
    <w:pPr>
      <w:pStyle w:val="Footer"/>
      <w:jc w:val="right"/>
    </w:pPr>
    <w:r>
      <w:tab/>
    </w:r>
  </w:p>
  <w:p w:rsidR="00151FE2" w:rsidRDefault="005A199A" w:rsidP="00612302">
    <w:pPr>
      <w:pStyle w:val="Footer"/>
      <w:tabs>
        <w:tab w:val="clear" w:pos="4320"/>
        <w:tab w:val="clear" w:pos="8640"/>
      </w:tabs>
      <w:jc w:val="right"/>
    </w:pPr>
    <w:r>
      <w:fldChar w:fldCharType="begin"/>
    </w:r>
    <w:r w:rsidR="00151FE2">
      <w:instrText xml:space="preserve"> PAGE   \* MERGEFORMAT </w:instrText>
    </w:r>
    <w:r>
      <w:fldChar w:fldCharType="separate"/>
    </w:r>
    <w:r w:rsidR="006438FC">
      <w:rPr>
        <w:noProof/>
      </w:rPr>
      <w:t>3</w:t>
    </w:r>
    <w:r>
      <w:rPr>
        <w:noProof/>
      </w:rPr>
      <w:fldChar w:fldCharType="end"/>
    </w:r>
  </w:p>
  <w:p w:rsidR="00151FE2" w:rsidRDefault="00151FE2"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47" w:rsidRDefault="00467847" w:rsidP="003A7CC6">
      <w:pPr>
        <w:spacing w:after="0" w:line="240" w:lineRule="auto"/>
      </w:pPr>
      <w:r>
        <w:separator/>
      </w:r>
    </w:p>
  </w:footnote>
  <w:footnote w:type="continuationSeparator" w:id="1">
    <w:p w:rsidR="00467847" w:rsidRDefault="00467847"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31723"/>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802AC"/>
    <w:multiLevelType w:val="hybridMultilevel"/>
    <w:tmpl w:val="D9DAF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A2742"/>
    <w:multiLevelType w:val="hybridMultilevel"/>
    <w:tmpl w:val="704EF6F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934F1"/>
    <w:multiLevelType w:val="hybridMultilevel"/>
    <w:tmpl w:val="798C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840C0"/>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B7328"/>
    <w:multiLevelType w:val="hybridMultilevel"/>
    <w:tmpl w:val="4BC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F6FCA"/>
    <w:multiLevelType w:val="hybridMultilevel"/>
    <w:tmpl w:val="239450CA"/>
    <w:lvl w:ilvl="0" w:tplc="D2A4825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96A7D1E"/>
    <w:multiLevelType w:val="hybridMultilevel"/>
    <w:tmpl w:val="A246F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434C31"/>
    <w:multiLevelType w:val="hybridMultilevel"/>
    <w:tmpl w:val="87C660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B165412"/>
    <w:multiLevelType w:val="hybridMultilevel"/>
    <w:tmpl w:val="95F0A2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CAA58C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31"/>
  </w:num>
  <w:num w:numId="3">
    <w:abstractNumId w:val="13"/>
  </w:num>
  <w:num w:numId="4">
    <w:abstractNumId w:val="9"/>
  </w:num>
  <w:num w:numId="5">
    <w:abstractNumId w:val="17"/>
  </w:num>
  <w:num w:numId="6">
    <w:abstractNumId w:val="28"/>
  </w:num>
  <w:num w:numId="7">
    <w:abstractNumId w:val="32"/>
  </w:num>
  <w:num w:numId="8">
    <w:abstractNumId w:val="21"/>
  </w:num>
  <w:num w:numId="9">
    <w:abstractNumId w:val="26"/>
  </w:num>
  <w:num w:numId="10">
    <w:abstractNumId w:val="14"/>
  </w:num>
  <w:num w:numId="11">
    <w:abstractNumId w:val="5"/>
  </w:num>
  <w:num w:numId="12">
    <w:abstractNumId w:val="8"/>
  </w:num>
  <w:num w:numId="13">
    <w:abstractNumId w:val="6"/>
  </w:num>
  <w:num w:numId="14">
    <w:abstractNumId w:val="3"/>
  </w:num>
  <w:num w:numId="15">
    <w:abstractNumId w:val="23"/>
  </w:num>
  <w:num w:numId="16">
    <w:abstractNumId w:val="18"/>
  </w:num>
  <w:num w:numId="17">
    <w:abstractNumId w:val="4"/>
  </w:num>
  <w:num w:numId="18">
    <w:abstractNumId w:val="19"/>
  </w:num>
  <w:num w:numId="19">
    <w:abstractNumId w:val="15"/>
  </w:num>
  <w:num w:numId="20">
    <w:abstractNumId w:val="0"/>
  </w:num>
  <w:num w:numId="21">
    <w:abstractNumId w:val="16"/>
  </w:num>
  <w:num w:numId="22">
    <w:abstractNumId w:val="7"/>
  </w:num>
  <w:num w:numId="23">
    <w:abstractNumId w:val="11"/>
  </w:num>
  <w:num w:numId="24">
    <w:abstractNumId w:val="10"/>
  </w:num>
  <w:num w:numId="25">
    <w:abstractNumId w:val="12"/>
  </w:num>
  <w:num w:numId="26">
    <w:abstractNumId w:val="25"/>
  </w:num>
  <w:num w:numId="27">
    <w:abstractNumId w:val="22"/>
  </w:num>
  <w:num w:numId="28">
    <w:abstractNumId w:val="1"/>
  </w:num>
  <w:num w:numId="29">
    <w:abstractNumId w:val="29"/>
  </w:num>
  <w:num w:numId="30">
    <w:abstractNumId w:val="27"/>
  </w:num>
  <w:num w:numId="31">
    <w:abstractNumId w:val="20"/>
  </w:num>
  <w:num w:numId="32">
    <w:abstractNumId w:val="24"/>
  </w:num>
  <w:num w:numId="33">
    <w:abstractNumId w:val="33"/>
  </w:num>
  <w:num w:numId="34">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2BB"/>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1F6"/>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191"/>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03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099C"/>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2D3"/>
    <w:rsid w:val="0013750A"/>
    <w:rsid w:val="00140984"/>
    <w:rsid w:val="00141DBD"/>
    <w:rsid w:val="001508D9"/>
    <w:rsid w:val="001517FE"/>
    <w:rsid w:val="00151FE2"/>
    <w:rsid w:val="00152CE8"/>
    <w:rsid w:val="00153A77"/>
    <w:rsid w:val="0015493F"/>
    <w:rsid w:val="001552E3"/>
    <w:rsid w:val="0015682F"/>
    <w:rsid w:val="001572E5"/>
    <w:rsid w:val="00164BFC"/>
    <w:rsid w:val="001665D3"/>
    <w:rsid w:val="00166D9A"/>
    <w:rsid w:val="0017195E"/>
    <w:rsid w:val="00171C6E"/>
    <w:rsid w:val="0017413D"/>
    <w:rsid w:val="00174505"/>
    <w:rsid w:val="0017682F"/>
    <w:rsid w:val="001809E1"/>
    <w:rsid w:val="00181579"/>
    <w:rsid w:val="00183F9D"/>
    <w:rsid w:val="00183FC5"/>
    <w:rsid w:val="001842EB"/>
    <w:rsid w:val="00186AB0"/>
    <w:rsid w:val="00186BF6"/>
    <w:rsid w:val="00191031"/>
    <w:rsid w:val="00191852"/>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26C1"/>
    <w:rsid w:val="001C4A5A"/>
    <w:rsid w:val="001C5442"/>
    <w:rsid w:val="001D04D8"/>
    <w:rsid w:val="001D3412"/>
    <w:rsid w:val="001D4175"/>
    <w:rsid w:val="001D5FDF"/>
    <w:rsid w:val="001D6165"/>
    <w:rsid w:val="001D71D7"/>
    <w:rsid w:val="001D73D2"/>
    <w:rsid w:val="001E06D9"/>
    <w:rsid w:val="001E4C53"/>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26D"/>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0A5C"/>
    <w:rsid w:val="002713CB"/>
    <w:rsid w:val="002715B7"/>
    <w:rsid w:val="00274299"/>
    <w:rsid w:val="00275F87"/>
    <w:rsid w:val="0027770F"/>
    <w:rsid w:val="00281B3D"/>
    <w:rsid w:val="00281C1F"/>
    <w:rsid w:val="00283740"/>
    <w:rsid w:val="00291EC7"/>
    <w:rsid w:val="00293AF0"/>
    <w:rsid w:val="00295EE1"/>
    <w:rsid w:val="002A0FE7"/>
    <w:rsid w:val="002A22EB"/>
    <w:rsid w:val="002A3ECB"/>
    <w:rsid w:val="002A7211"/>
    <w:rsid w:val="002B1229"/>
    <w:rsid w:val="002B31A5"/>
    <w:rsid w:val="002B3703"/>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1F5"/>
    <w:rsid w:val="00317372"/>
    <w:rsid w:val="0031755C"/>
    <w:rsid w:val="00317BB5"/>
    <w:rsid w:val="00321021"/>
    <w:rsid w:val="00321BB1"/>
    <w:rsid w:val="00323867"/>
    <w:rsid w:val="00323D82"/>
    <w:rsid w:val="00323D83"/>
    <w:rsid w:val="003246D7"/>
    <w:rsid w:val="00324A7E"/>
    <w:rsid w:val="00330C83"/>
    <w:rsid w:val="00332EAA"/>
    <w:rsid w:val="003347CB"/>
    <w:rsid w:val="003348AB"/>
    <w:rsid w:val="00340DAB"/>
    <w:rsid w:val="00344BFA"/>
    <w:rsid w:val="00344D1D"/>
    <w:rsid w:val="00344D78"/>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3836"/>
    <w:rsid w:val="003B4AFD"/>
    <w:rsid w:val="003B4CE9"/>
    <w:rsid w:val="003B5526"/>
    <w:rsid w:val="003C00C0"/>
    <w:rsid w:val="003C0F39"/>
    <w:rsid w:val="003C26BC"/>
    <w:rsid w:val="003C6188"/>
    <w:rsid w:val="003C67BC"/>
    <w:rsid w:val="003D068B"/>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6CDB"/>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67847"/>
    <w:rsid w:val="00475246"/>
    <w:rsid w:val="00475D8F"/>
    <w:rsid w:val="004762ED"/>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4405"/>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1F4D"/>
    <w:rsid w:val="0050220C"/>
    <w:rsid w:val="0050711C"/>
    <w:rsid w:val="0050727F"/>
    <w:rsid w:val="005100D9"/>
    <w:rsid w:val="005105CC"/>
    <w:rsid w:val="005123C4"/>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47094"/>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199A"/>
    <w:rsid w:val="005A214C"/>
    <w:rsid w:val="005A370F"/>
    <w:rsid w:val="005A3774"/>
    <w:rsid w:val="005A39AC"/>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47D"/>
    <w:rsid w:val="006007EF"/>
    <w:rsid w:val="00600951"/>
    <w:rsid w:val="00603A6A"/>
    <w:rsid w:val="0060538E"/>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3550"/>
    <w:rsid w:val="00624C01"/>
    <w:rsid w:val="00624E34"/>
    <w:rsid w:val="00624F82"/>
    <w:rsid w:val="00625034"/>
    <w:rsid w:val="00625A1F"/>
    <w:rsid w:val="00630E41"/>
    <w:rsid w:val="00631454"/>
    <w:rsid w:val="00631B99"/>
    <w:rsid w:val="006321D7"/>
    <w:rsid w:val="00635E12"/>
    <w:rsid w:val="00636EC0"/>
    <w:rsid w:val="00637E8D"/>
    <w:rsid w:val="006401DA"/>
    <w:rsid w:val="00640A7E"/>
    <w:rsid w:val="006415FB"/>
    <w:rsid w:val="006438FC"/>
    <w:rsid w:val="0064652B"/>
    <w:rsid w:val="0064742E"/>
    <w:rsid w:val="0065166F"/>
    <w:rsid w:val="0065214A"/>
    <w:rsid w:val="00653DBC"/>
    <w:rsid w:val="006558DD"/>
    <w:rsid w:val="00655C4D"/>
    <w:rsid w:val="0065666A"/>
    <w:rsid w:val="00660E27"/>
    <w:rsid w:val="006652AA"/>
    <w:rsid w:val="006657E7"/>
    <w:rsid w:val="0066637B"/>
    <w:rsid w:val="006703CF"/>
    <w:rsid w:val="00670B3A"/>
    <w:rsid w:val="00671F6B"/>
    <w:rsid w:val="00672C21"/>
    <w:rsid w:val="00672E52"/>
    <w:rsid w:val="00673A54"/>
    <w:rsid w:val="0067426C"/>
    <w:rsid w:val="00674710"/>
    <w:rsid w:val="00674D48"/>
    <w:rsid w:val="00676528"/>
    <w:rsid w:val="006807DD"/>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6F3"/>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1ABE"/>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47E6"/>
    <w:rsid w:val="007B5358"/>
    <w:rsid w:val="007B7B60"/>
    <w:rsid w:val="007B7D76"/>
    <w:rsid w:val="007C0019"/>
    <w:rsid w:val="007C06CE"/>
    <w:rsid w:val="007C15F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D74A8"/>
    <w:rsid w:val="007E11FC"/>
    <w:rsid w:val="007E1AE4"/>
    <w:rsid w:val="007E1E32"/>
    <w:rsid w:val="007E2DBB"/>
    <w:rsid w:val="007E61FB"/>
    <w:rsid w:val="007E71BE"/>
    <w:rsid w:val="007F0ACB"/>
    <w:rsid w:val="007F0CEA"/>
    <w:rsid w:val="007F294E"/>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0C8B"/>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0CB9"/>
    <w:rsid w:val="00842E4F"/>
    <w:rsid w:val="008436BD"/>
    <w:rsid w:val="00843B17"/>
    <w:rsid w:val="008458C0"/>
    <w:rsid w:val="008472BF"/>
    <w:rsid w:val="008500B3"/>
    <w:rsid w:val="00850D63"/>
    <w:rsid w:val="00851822"/>
    <w:rsid w:val="00852065"/>
    <w:rsid w:val="00852D1C"/>
    <w:rsid w:val="0085313A"/>
    <w:rsid w:val="00855385"/>
    <w:rsid w:val="00856366"/>
    <w:rsid w:val="00856FDE"/>
    <w:rsid w:val="00863EE9"/>
    <w:rsid w:val="00864098"/>
    <w:rsid w:val="00864289"/>
    <w:rsid w:val="0086466D"/>
    <w:rsid w:val="0086595F"/>
    <w:rsid w:val="00871C22"/>
    <w:rsid w:val="00872AAD"/>
    <w:rsid w:val="008735BE"/>
    <w:rsid w:val="00874AEC"/>
    <w:rsid w:val="008761B7"/>
    <w:rsid w:val="0088165A"/>
    <w:rsid w:val="00884F7A"/>
    <w:rsid w:val="00885DB6"/>
    <w:rsid w:val="008906D5"/>
    <w:rsid w:val="0089167F"/>
    <w:rsid w:val="008927AD"/>
    <w:rsid w:val="00893827"/>
    <w:rsid w:val="008938A9"/>
    <w:rsid w:val="00893AEF"/>
    <w:rsid w:val="008961E5"/>
    <w:rsid w:val="008963F2"/>
    <w:rsid w:val="00897D0A"/>
    <w:rsid w:val="008A020F"/>
    <w:rsid w:val="008A02D1"/>
    <w:rsid w:val="008A2098"/>
    <w:rsid w:val="008A2E9D"/>
    <w:rsid w:val="008A6D3C"/>
    <w:rsid w:val="008A7909"/>
    <w:rsid w:val="008B039B"/>
    <w:rsid w:val="008B10F4"/>
    <w:rsid w:val="008B1B9A"/>
    <w:rsid w:val="008B3709"/>
    <w:rsid w:val="008B398D"/>
    <w:rsid w:val="008B3D8E"/>
    <w:rsid w:val="008B5E3D"/>
    <w:rsid w:val="008C0F8E"/>
    <w:rsid w:val="008C25B3"/>
    <w:rsid w:val="008C25E6"/>
    <w:rsid w:val="008C2D9C"/>
    <w:rsid w:val="008C3100"/>
    <w:rsid w:val="008C55AC"/>
    <w:rsid w:val="008C7CAF"/>
    <w:rsid w:val="008D0A37"/>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4CC"/>
    <w:rsid w:val="009255BB"/>
    <w:rsid w:val="009277E0"/>
    <w:rsid w:val="00927B87"/>
    <w:rsid w:val="00927C69"/>
    <w:rsid w:val="009304A4"/>
    <w:rsid w:val="0093137C"/>
    <w:rsid w:val="00931A4C"/>
    <w:rsid w:val="00932DE5"/>
    <w:rsid w:val="009336EB"/>
    <w:rsid w:val="0093407B"/>
    <w:rsid w:val="00935D1F"/>
    <w:rsid w:val="009360F6"/>
    <w:rsid w:val="00937B93"/>
    <w:rsid w:val="00940745"/>
    <w:rsid w:val="00941587"/>
    <w:rsid w:val="00942D0D"/>
    <w:rsid w:val="00943EAE"/>
    <w:rsid w:val="00946C86"/>
    <w:rsid w:val="00947A37"/>
    <w:rsid w:val="00953875"/>
    <w:rsid w:val="0095528C"/>
    <w:rsid w:val="0095539E"/>
    <w:rsid w:val="00956BA2"/>
    <w:rsid w:val="00956E39"/>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6E2"/>
    <w:rsid w:val="00A5678A"/>
    <w:rsid w:val="00A5767E"/>
    <w:rsid w:val="00A61147"/>
    <w:rsid w:val="00A61422"/>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1A"/>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10F2"/>
    <w:rsid w:val="00AE299D"/>
    <w:rsid w:val="00AE2BBC"/>
    <w:rsid w:val="00AE5F71"/>
    <w:rsid w:val="00AF3892"/>
    <w:rsid w:val="00AF3C5A"/>
    <w:rsid w:val="00AF541D"/>
    <w:rsid w:val="00AF79F1"/>
    <w:rsid w:val="00B007C7"/>
    <w:rsid w:val="00B00B91"/>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20BF"/>
    <w:rsid w:val="00B23DD3"/>
    <w:rsid w:val="00B26C9A"/>
    <w:rsid w:val="00B26E1F"/>
    <w:rsid w:val="00B3282A"/>
    <w:rsid w:val="00B34C5F"/>
    <w:rsid w:val="00B34CD2"/>
    <w:rsid w:val="00B4181B"/>
    <w:rsid w:val="00B41E97"/>
    <w:rsid w:val="00B429D3"/>
    <w:rsid w:val="00B432BD"/>
    <w:rsid w:val="00B433E9"/>
    <w:rsid w:val="00B43890"/>
    <w:rsid w:val="00B439C0"/>
    <w:rsid w:val="00B43C6C"/>
    <w:rsid w:val="00B4407E"/>
    <w:rsid w:val="00B44B1C"/>
    <w:rsid w:val="00B45CFB"/>
    <w:rsid w:val="00B478E1"/>
    <w:rsid w:val="00B47934"/>
    <w:rsid w:val="00B542E2"/>
    <w:rsid w:val="00B56568"/>
    <w:rsid w:val="00B56712"/>
    <w:rsid w:val="00B568A0"/>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1A3"/>
    <w:rsid w:val="00BB02B8"/>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2978"/>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48FC"/>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3789"/>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069DF"/>
    <w:rsid w:val="00D108ED"/>
    <w:rsid w:val="00D109E3"/>
    <w:rsid w:val="00D124C3"/>
    <w:rsid w:val="00D12614"/>
    <w:rsid w:val="00D179F8"/>
    <w:rsid w:val="00D17B78"/>
    <w:rsid w:val="00D203BD"/>
    <w:rsid w:val="00D207BA"/>
    <w:rsid w:val="00D21C93"/>
    <w:rsid w:val="00D22019"/>
    <w:rsid w:val="00D25FDA"/>
    <w:rsid w:val="00D261A2"/>
    <w:rsid w:val="00D262A1"/>
    <w:rsid w:val="00D30E0F"/>
    <w:rsid w:val="00D321F3"/>
    <w:rsid w:val="00D3238A"/>
    <w:rsid w:val="00D3273B"/>
    <w:rsid w:val="00D33313"/>
    <w:rsid w:val="00D34CAC"/>
    <w:rsid w:val="00D35737"/>
    <w:rsid w:val="00D377D4"/>
    <w:rsid w:val="00D401EB"/>
    <w:rsid w:val="00D416B3"/>
    <w:rsid w:val="00D4325B"/>
    <w:rsid w:val="00D43BDD"/>
    <w:rsid w:val="00D4501B"/>
    <w:rsid w:val="00D46BB2"/>
    <w:rsid w:val="00D52F27"/>
    <w:rsid w:val="00D60437"/>
    <w:rsid w:val="00D63DEE"/>
    <w:rsid w:val="00D64046"/>
    <w:rsid w:val="00D66AC4"/>
    <w:rsid w:val="00D7134C"/>
    <w:rsid w:val="00D71CAE"/>
    <w:rsid w:val="00D724C1"/>
    <w:rsid w:val="00D727BF"/>
    <w:rsid w:val="00D7408B"/>
    <w:rsid w:val="00D75503"/>
    <w:rsid w:val="00D757DE"/>
    <w:rsid w:val="00D80748"/>
    <w:rsid w:val="00D80C66"/>
    <w:rsid w:val="00D80F2E"/>
    <w:rsid w:val="00D81326"/>
    <w:rsid w:val="00D816E1"/>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28DA"/>
    <w:rsid w:val="00DB38B1"/>
    <w:rsid w:val="00DB4B1C"/>
    <w:rsid w:val="00DB5D0F"/>
    <w:rsid w:val="00DC0609"/>
    <w:rsid w:val="00DC1CE4"/>
    <w:rsid w:val="00DC2123"/>
    <w:rsid w:val="00DC4841"/>
    <w:rsid w:val="00DC55AD"/>
    <w:rsid w:val="00DC572C"/>
    <w:rsid w:val="00DC64FC"/>
    <w:rsid w:val="00DC6749"/>
    <w:rsid w:val="00DC68DD"/>
    <w:rsid w:val="00DC7B1E"/>
    <w:rsid w:val="00DD0DDE"/>
    <w:rsid w:val="00DD2BF6"/>
    <w:rsid w:val="00DD44E4"/>
    <w:rsid w:val="00DD4C44"/>
    <w:rsid w:val="00DD51A2"/>
    <w:rsid w:val="00DD5552"/>
    <w:rsid w:val="00DD559D"/>
    <w:rsid w:val="00DD6215"/>
    <w:rsid w:val="00DD6346"/>
    <w:rsid w:val="00DE012B"/>
    <w:rsid w:val="00DE1D32"/>
    <w:rsid w:val="00DE2399"/>
    <w:rsid w:val="00DE2CFA"/>
    <w:rsid w:val="00DE2F72"/>
    <w:rsid w:val="00DE3B02"/>
    <w:rsid w:val="00DE7E72"/>
    <w:rsid w:val="00DF1E70"/>
    <w:rsid w:val="00DF1FAA"/>
    <w:rsid w:val="00DF292A"/>
    <w:rsid w:val="00DF4D86"/>
    <w:rsid w:val="00DF61A8"/>
    <w:rsid w:val="00DF66EC"/>
    <w:rsid w:val="00E00601"/>
    <w:rsid w:val="00E007A6"/>
    <w:rsid w:val="00E05D7E"/>
    <w:rsid w:val="00E1051D"/>
    <w:rsid w:val="00E12A3C"/>
    <w:rsid w:val="00E13D1E"/>
    <w:rsid w:val="00E16604"/>
    <w:rsid w:val="00E16D49"/>
    <w:rsid w:val="00E171F7"/>
    <w:rsid w:val="00E1741F"/>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54D13"/>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2C18"/>
    <w:rsid w:val="00EA48DE"/>
    <w:rsid w:val="00EA49EC"/>
    <w:rsid w:val="00EA4A14"/>
    <w:rsid w:val="00EA5BAA"/>
    <w:rsid w:val="00EB10B0"/>
    <w:rsid w:val="00EB22A4"/>
    <w:rsid w:val="00EB237F"/>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A5F"/>
    <w:rsid w:val="00EC6D54"/>
    <w:rsid w:val="00EC7915"/>
    <w:rsid w:val="00ED07AA"/>
    <w:rsid w:val="00ED1BC6"/>
    <w:rsid w:val="00ED2D9F"/>
    <w:rsid w:val="00ED389B"/>
    <w:rsid w:val="00ED41E5"/>
    <w:rsid w:val="00ED5669"/>
    <w:rsid w:val="00ED5DC0"/>
    <w:rsid w:val="00ED5F91"/>
    <w:rsid w:val="00ED6750"/>
    <w:rsid w:val="00ED79C3"/>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3CA8"/>
    <w:rsid w:val="00F1531A"/>
    <w:rsid w:val="00F22264"/>
    <w:rsid w:val="00F22B3C"/>
    <w:rsid w:val="00F23E6B"/>
    <w:rsid w:val="00F2454E"/>
    <w:rsid w:val="00F2687F"/>
    <w:rsid w:val="00F26B94"/>
    <w:rsid w:val="00F26F57"/>
    <w:rsid w:val="00F27397"/>
    <w:rsid w:val="00F31E7E"/>
    <w:rsid w:val="00F33648"/>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1B14"/>
    <w:rsid w:val="00F5393E"/>
    <w:rsid w:val="00F549F0"/>
    <w:rsid w:val="00F54F10"/>
    <w:rsid w:val="00F55827"/>
    <w:rsid w:val="00F55E93"/>
    <w:rsid w:val="00F62BAA"/>
    <w:rsid w:val="00F64246"/>
    <w:rsid w:val="00F64AF7"/>
    <w:rsid w:val="00F65746"/>
    <w:rsid w:val="00F6673C"/>
    <w:rsid w:val="00F66F70"/>
    <w:rsid w:val="00F717EE"/>
    <w:rsid w:val="00F71D4C"/>
    <w:rsid w:val="00F74C37"/>
    <w:rsid w:val="00F772DD"/>
    <w:rsid w:val="00F801C4"/>
    <w:rsid w:val="00F82962"/>
    <w:rsid w:val="00F90B32"/>
    <w:rsid w:val="00F91B7C"/>
    <w:rsid w:val="00F928D1"/>
    <w:rsid w:val="00F94129"/>
    <w:rsid w:val="00F95BFF"/>
    <w:rsid w:val="00F96265"/>
    <w:rsid w:val="00F967E8"/>
    <w:rsid w:val="00F96DED"/>
    <w:rsid w:val="00F96E29"/>
    <w:rsid w:val="00FA015F"/>
    <w:rsid w:val="00FA12C6"/>
    <w:rsid w:val="00FA4CBC"/>
    <w:rsid w:val="00FA4E31"/>
    <w:rsid w:val="00FA54EF"/>
    <w:rsid w:val="00FA595A"/>
    <w:rsid w:val="00FA770E"/>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045"/>
    <w:rsid w:val="00FE1783"/>
    <w:rsid w:val="00FE2E33"/>
    <w:rsid w:val="00FE413A"/>
    <w:rsid w:val="00FE5547"/>
    <w:rsid w:val="00FE7123"/>
    <w:rsid w:val="00FE77CB"/>
    <w:rsid w:val="00FE7F05"/>
    <w:rsid w:val="00FF1D6F"/>
    <w:rsid w:val="00FF2D7C"/>
    <w:rsid w:val="00FF36EA"/>
    <w:rsid w:val="00FF483D"/>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hm@nic.in" TargetMode="Externa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B386-E422-47BC-B7C5-919FB85A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3</cp:revision>
  <cp:lastPrinted>2021-08-13T07:42:00Z</cp:lastPrinted>
  <dcterms:created xsi:type="dcterms:W3CDTF">2021-08-14T08:14:00Z</dcterms:created>
  <dcterms:modified xsi:type="dcterms:W3CDTF">2021-08-14T08:14:00Z</dcterms:modified>
</cp:coreProperties>
</file>