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7F1FDC">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6" o:title=""/>
                </v:shape>
                <o:OLEObject Type="Embed" ProgID="PBrush" ShapeID="_x0000_i1025" DrawAspect="Content" ObjectID="_1694528327" r:id="rId7"/>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FD689A" w:rsidP="00224AA6">
      <w:pPr>
        <w:rPr>
          <w:b/>
          <w:color w:val="FF0000"/>
          <w:sz w:val="23"/>
          <w:szCs w:val="23"/>
        </w:rPr>
      </w:pPr>
      <w:proofErr w:type="spellStart"/>
      <w:r>
        <w:rPr>
          <w:b/>
          <w:sz w:val="23"/>
          <w:szCs w:val="23"/>
        </w:rPr>
        <w:t>F.No</w:t>
      </w:r>
      <w:proofErr w:type="spellEnd"/>
      <w:r>
        <w:rPr>
          <w:b/>
          <w:sz w:val="23"/>
          <w:szCs w:val="23"/>
        </w:rPr>
        <w:t xml:space="preserve">: </w:t>
      </w:r>
      <w:proofErr w:type="gramStart"/>
      <w:r>
        <w:rPr>
          <w:b/>
          <w:sz w:val="23"/>
          <w:szCs w:val="23"/>
        </w:rPr>
        <w:t>2(485)/2021</w:t>
      </w:r>
      <w:r w:rsidR="00224AA6" w:rsidRPr="00D42132">
        <w:rPr>
          <w:b/>
          <w:sz w:val="23"/>
          <w:szCs w:val="23"/>
        </w:rPr>
        <w:t>-Estt</w:t>
      </w:r>
      <w:proofErr w:type="gramEnd"/>
      <w:r w:rsidR="00224AA6" w:rsidRPr="00B14292">
        <w:rPr>
          <w:b/>
          <w:sz w:val="23"/>
          <w:szCs w:val="23"/>
        </w:rPr>
        <w:t xml:space="preserve">.                                                                                                   </w:t>
      </w:r>
      <w:r w:rsidR="008E43FE">
        <w:rPr>
          <w:b/>
          <w:sz w:val="23"/>
          <w:szCs w:val="23"/>
        </w:rPr>
        <w:t>Date</w:t>
      </w:r>
      <w:proofErr w:type="gramStart"/>
      <w:r w:rsidR="008E43FE">
        <w:rPr>
          <w:b/>
          <w:sz w:val="23"/>
          <w:szCs w:val="23"/>
        </w:rPr>
        <w:t>:30</w:t>
      </w:r>
      <w:proofErr w:type="gramEnd"/>
      <w:r w:rsidR="003B40AE" w:rsidRPr="00B14292">
        <w:rPr>
          <w:b/>
          <w:sz w:val="23"/>
          <w:szCs w:val="23"/>
        </w:rPr>
        <w:t>-</w:t>
      </w:r>
      <w:r w:rsidR="00CE51FB">
        <w:rPr>
          <w:b/>
          <w:sz w:val="23"/>
          <w:szCs w:val="23"/>
        </w:rPr>
        <w:t>0</w:t>
      </w:r>
      <w:r>
        <w:rPr>
          <w:b/>
          <w:sz w:val="23"/>
          <w:szCs w:val="23"/>
        </w:rPr>
        <w:t>9</w:t>
      </w:r>
      <w:r w:rsidR="001D7630">
        <w:rPr>
          <w:b/>
          <w:sz w:val="23"/>
          <w:szCs w:val="23"/>
        </w:rPr>
        <w:t>-202</w:t>
      </w:r>
      <w:r>
        <w:rPr>
          <w:b/>
          <w:sz w:val="23"/>
          <w:szCs w:val="23"/>
        </w:rPr>
        <w:t>1</w:t>
      </w: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w:t>
      </w:r>
      <w:r w:rsidR="008F6323">
        <w:rPr>
          <w:sz w:val="23"/>
          <w:szCs w:val="23"/>
        </w:rPr>
        <w:t>ngagement of following position</w:t>
      </w:r>
      <w:r w:rsidRPr="00D42132">
        <w:rPr>
          <w:sz w:val="23"/>
          <w:szCs w:val="23"/>
        </w:rPr>
        <w:t xml:space="preserve"> on contractual basis.  The engagement wil</w:t>
      </w:r>
      <w:r w:rsidR="00A76D3B">
        <w:rPr>
          <w:sz w:val="23"/>
          <w:szCs w:val="23"/>
        </w:rPr>
        <w:t>l be initially for a period not exceeding one year which is extendable by one year</w:t>
      </w:r>
      <w:r w:rsidRPr="00D42132">
        <w:rPr>
          <w:sz w:val="23"/>
          <w:szCs w:val="23"/>
        </w:rPr>
        <w:t xml:space="preserve">.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make a  power point presentation  </w:t>
      </w:r>
      <w:r w:rsidR="00876683" w:rsidRPr="00D42132">
        <w:rPr>
          <w:sz w:val="23"/>
          <w:szCs w:val="23"/>
        </w:rPr>
        <w:t>of</w:t>
      </w:r>
      <w:r w:rsidRPr="00D42132">
        <w:rPr>
          <w:sz w:val="23"/>
          <w:szCs w:val="23"/>
        </w:rPr>
        <w:t xml:space="preserve"> 15 minutes duration (on the topic of </w:t>
      </w:r>
      <w:r w:rsidR="0059695D" w:rsidRPr="00D42132">
        <w:rPr>
          <w:sz w:val="23"/>
          <w:szCs w:val="23"/>
        </w:rPr>
        <w:t>their field in line with the pos</w:t>
      </w:r>
      <w:r w:rsidR="007B1D6F">
        <w:rPr>
          <w:sz w:val="23"/>
          <w:szCs w:val="23"/>
        </w:rPr>
        <w:t>i</w:t>
      </w:r>
      <w:r w:rsidR="0059695D" w:rsidRPr="00D42132">
        <w:rPr>
          <w:sz w:val="23"/>
          <w:szCs w:val="23"/>
        </w:rPr>
        <w:t>t</w:t>
      </w:r>
      <w:r w:rsidR="007B1D6F">
        <w:rPr>
          <w:sz w:val="23"/>
          <w:szCs w:val="23"/>
        </w:rPr>
        <w:t>ion</w:t>
      </w:r>
      <w:r w:rsidR="0059695D" w:rsidRPr="00D42132">
        <w:rPr>
          <w:sz w:val="23"/>
          <w:szCs w:val="23"/>
        </w:rPr>
        <w:t xml:space="preserve"> they applied for</w:t>
      </w:r>
      <w:r w:rsidRPr="00D42132">
        <w:rPr>
          <w:sz w:val="23"/>
          <w:szCs w:val="23"/>
        </w:rPr>
        <w:t xml:space="preserve">)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tblPr>
      <w:tblGrid>
        <w:gridCol w:w="951"/>
        <w:gridCol w:w="3206"/>
        <w:gridCol w:w="3454"/>
        <w:gridCol w:w="1028"/>
        <w:gridCol w:w="1896"/>
      </w:tblGrid>
      <w:tr w:rsidR="00305E84" w:rsidRPr="00D42132" w:rsidTr="00867DFA">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B51861" w:rsidRPr="00D42132" w:rsidTr="00CF3EEE">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1861" w:rsidRPr="00D42132" w:rsidRDefault="00B51861" w:rsidP="008B2BC6">
            <w:pPr>
              <w:tabs>
                <w:tab w:val="left" w:pos="0"/>
                <w:tab w:val="left" w:pos="950"/>
              </w:tabs>
              <w:spacing w:line="276" w:lineRule="auto"/>
              <w:jc w:val="center"/>
              <w:rPr>
                <w:b/>
                <w:bCs/>
                <w:sz w:val="23"/>
                <w:szCs w:val="23"/>
              </w:rPr>
            </w:pPr>
            <w:r>
              <w:rPr>
                <w:b/>
                <w:bCs/>
                <w:sz w:val="23"/>
                <w:szCs w:val="23"/>
              </w:rPr>
              <w:t>1</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861" w:rsidRPr="000029E8" w:rsidRDefault="00CE5724" w:rsidP="00CE5724">
            <w:pPr>
              <w:tabs>
                <w:tab w:val="left" w:pos="0"/>
              </w:tabs>
              <w:jc w:val="center"/>
              <w:rPr>
                <w:b/>
                <w:bCs/>
                <w:sz w:val="21"/>
                <w:szCs w:val="21"/>
              </w:rPr>
            </w:pPr>
            <w:r>
              <w:rPr>
                <w:b/>
                <w:bCs/>
                <w:sz w:val="21"/>
                <w:szCs w:val="21"/>
              </w:rPr>
              <w:t>Administration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1861" w:rsidRPr="000029E8" w:rsidRDefault="00B51861" w:rsidP="00A83497">
            <w:pPr>
              <w:tabs>
                <w:tab w:val="left" w:pos="0"/>
              </w:tabs>
              <w:jc w:val="center"/>
              <w:rPr>
                <w:sz w:val="21"/>
                <w:szCs w:val="21"/>
              </w:rPr>
            </w:pPr>
            <w:r w:rsidRPr="000029E8">
              <w:rPr>
                <w:b/>
                <w:bCs/>
                <w:sz w:val="21"/>
                <w:szCs w:val="21"/>
              </w:rPr>
              <w:t xml:space="preserve"> Consultant </w:t>
            </w:r>
            <w:r>
              <w:rPr>
                <w:b/>
                <w:bCs/>
                <w:sz w:val="21"/>
                <w:szCs w:val="21"/>
              </w:rPr>
              <w:t>(</w:t>
            </w:r>
            <w:r w:rsidR="00A83497">
              <w:rPr>
                <w:b/>
                <w:bCs/>
                <w:sz w:val="21"/>
                <w:szCs w:val="21"/>
              </w:rPr>
              <w:t>Admin-C</w:t>
            </w:r>
            <w:r w:rsidR="0072253B">
              <w:rPr>
                <w:b/>
                <w:bCs/>
                <w:sz w:val="21"/>
                <w:szCs w:val="21"/>
              </w:rPr>
              <w:t>ivil</w:t>
            </w:r>
            <w:r w:rsidR="00CE5724">
              <w:rPr>
                <w:b/>
                <w:bCs/>
                <w:sz w:val="21"/>
                <w:szCs w:val="21"/>
              </w:rPr>
              <w:t xml:space="preserve"> and Electrical</w:t>
            </w:r>
            <w:r>
              <w:rPr>
                <w:b/>
                <w:bCs/>
                <w:sz w:val="21"/>
                <w:szCs w:val="21"/>
              </w:rPr>
              <w: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51861" w:rsidRPr="00D42132" w:rsidRDefault="00B51861" w:rsidP="00CF5986">
            <w:pPr>
              <w:tabs>
                <w:tab w:val="left" w:pos="0"/>
              </w:tabs>
              <w:spacing w:line="276" w:lineRule="auto"/>
              <w:jc w:val="center"/>
              <w:rPr>
                <w:b/>
                <w:bCs/>
                <w:sz w:val="23"/>
                <w:szCs w:val="23"/>
              </w:rPr>
            </w:pPr>
            <w:r>
              <w:rPr>
                <w:b/>
                <w:bCs/>
                <w:sz w:val="23"/>
                <w:szCs w:val="23"/>
              </w:rPr>
              <w:t>01</w:t>
            </w:r>
          </w:p>
        </w:tc>
        <w:tc>
          <w:tcPr>
            <w:tcW w:w="1896" w:type="dxa"/>
            <w:tcBorders>
              <w:top w:val="single" w:sz="4" w:space="0" w:color="000000" w:themeColor="text1"/>
              <w:left w:val="single" w:sz="4" w:space="0" w:color="000000" w:themeColor="text1"/>
              <w:right w:val="single" w:sz="4" w:space="0" w:color="000000" w:themeColor="text1"/>
            </w:tcBorders>
          </w:tcPr>
          <w:p w:rsidR="00B51861" w:rsidRPr="00D42132" w:rsidRDefault="002B3A13" w:rsidP="005A207B">
            <w:pPr>
              <w:tabs>
                <w:tab w:val="left" w:pos="0"/>
              </w:tabs>
              <w:jc w:val="center"/>
              <w:rPr>
                <w:b/>
                <w:bCs/>
                <w:sz w:val="23"/>
                <w:szCs w:val="23"/>
              </w:rPr>
            </w:pPr>
            <w:r>
              <w:rPr>
                <w:b/>
                <w:bCs/>
                <w:sz w:val="23"/>
                <w:szCs w:val="23"/>
              </w:rPr>
              <w:t>20-10-2021</w:t>
            </w:r>
          </w:p>
        </w:tc>
      </w:tr>
    </w:tbl>
    <w:p w:rsidR="001D7630" w:rsidRPr="00D42132" w:rsidRDefault="001D7630">
      <w:pPr>
        <w:rPr>
          <w:color w:val="FF0000"/>
          <w:sz w:val="23"/>
          <w:szCs w:val="23"/>
        </w:rPr>
      </w:pPr>
    </w:p>
    <w:tbl>
      <w:tblPr>
        <w:tblStyle w:val="TableGrid"/>
        <w:tblW w:w="5000" w:type="pct"/>
        <w:jc w:val="center"/>
        <w:tblLook w:val="04A0"/>
      </w:tblPr>
      <w:tblGrid>
        <w:gridCol w:w="1019"/>
        <w:gridCol w:w="2857"/>
        <w:gridCol w:w="4422"/>
        <w:gridCol w:w="2171"/>
      </w:tblGrid>
      <w:tr w:rsidR="00A83497" w:rsidRPr="00D42132" w:rsidTr="00A83497">
        <w:trPr>
          <w:jc w:val="center"/>
        </w:trPr>
        <w:tc>
          <w:tcPr>
            <w:tcW w:w="486" w:type="pct"/>
            <w:vAlign w:val="center"/>
          </w:tcPr>
          <w:p w:rsidR="00A83497" w:rsidRPr="00D42132" w:rsidRDefault="00A83497" w:rsidP="009A0F6C">
            <w:pPr>
              <w:jc w:val="center"/>
              <w:rPr>
                <w:b/>
                <w:bCs/>
                <w:sz w:val="23"/>
                <w:szCs w:val="23"/>
              </w:rPr>
            </w:pPr>
            <w:r w:rsidRPr="00D42132">
              <w:rPr>
                <w:b/>
                <w:bCs/>
                <w:sz w:val="23"/>
                <w:szCs w:val="23"/>
              </w:rPr>
              <w:t>Sl. No.</w:t>
            </w:r>
          </w:p>
        </w:tc>
        <w:tc>
          <w:tcPr>
            <w:tcW w:w="1364" w:type="pct"/>
            <w:vAlign w:val="center"/>
          </w:tcPr>
          <w:p w:rsidR="00A83497" w:rsidRPr="00D42132" w:rsidRDefault="00A83497" w:rsidP="009A0F6C">
            <w:pPr>
              <w:jc w:val="center"/>
              <w:rPr>
                <w:b/>
                <w:bCs/>
                <w:sz w:val="23"/>
                <w:szCs w:val="23"/>
              </w:rPr>
            </w:pPr>
            <w:r w:rsidRPr="00D42132">
              <w:rPr>
                <w:b/>
                <w:bCs/>
                <w:sz w:val="23"/>
                <w:szCs w:val="23"/>
              </w:rPr>
              <w:t>Name of the Position</w:t>
            </w:r>
          </w:p>
        </w:tc>
        <w:tc>
          <w:tcPr>
            <w:tcW w:w="2112" w:type="pct"/>
            <w:vAlign w:val="center"/>
          </w:tcPr>
          <w:p w:rsidR="00A83497" w:rsidRPr="00D42132" w:rsidRDefault="00A83497" w:rsidP="009A0F6C">
            <w:pPr>
              <w:jc w:val="center"/>
              <w:rPr>
                <w:b/>
                <w:bCs/>
                <w:sz w:val="23"/>
                <w:szCs w:val="23"/>
              </w:rPr>
            </w:pPr>
            <w:r w:rsidRPr="00D42132">
              <w:rPr>
                <w:b/>
                <w:bCs/>
                <w:sz w:val="23"/>
                <w:szCs w:val="23"/>
              </w:rPr>
              <w:t>Qualifications</w:t>
            </w:r>
          </w:p>
        </w:tc>
        <w:tc>
          <w:tcPr>
            <w:tcW w:w="1037" w:type="pct"/>
            <w:vAlign w:val="center"/>
          </w:tcPr>
          <w:p w:rsidR="00A83497" w:rsidRPr="00D42132" w:rsidRDefault="00A83497" w:rsidP="009A0F6C">
            <w:pPr>
              <w:jc w:val="center"/>
              <w:rPr>
                <w:b/>
                <w:bCs/>
                <w:sz w:val="23"/>
                <w:szCs w:val="23"/>
              </w:rPr>
            </w:pPr>
            <w:r w:rsidRPr="00D42132">
              <w:rPr>
                <w:b/>
                <w:bCs/>
                <w:sz w:val="23"/>
                <w:szCs w:val="23"/>
              </w:rPr>
              <w:t>Maximum</w:t>
            </w:r>
          </w:p>
          <w:p w:rsidR="00A83497" w:rsidRPr="00D42132" w:rsidRDefault="00A83497" w:rsidP="009A0F6C">
            <w:pPr>
              <w:jc w:val="center"/>
              <w:rPr>
                <w:b/>
                <w:bCs/>
                <w:sz w:val="23"/>
                <w:szCs w:val="23"/>
              </w:rPr>
            </w:pPr>
            <w:r w:rsidRPr="00D42132">
              <w:rPr>
                <w:b/>
                <w:bCs/>
                <w:sz w:val="23"/>
                <w:szCs w:val="23"/>
              </w:rPr>
              <w:t>Age limit</w:t>
            </w:r>
          </w:p>
        </w:tc>
      </w:tr>
      <w:tr w:rsidR="00A83497" w:rsidRPr="00D42132" w:rsidTr="00A83497">
        <w:trPr>
          <w:trHeight w:val="2546"/>
          <w:jc w:val="center"/>
        </w:trPr>
        <w:tc>
          <w:tcPr>
            <w:tcW w:w="486" w:type="pct"/>
            <w:vAlign w:val="center"/>
          </w:tcPr>
          <w:p w:rsidR="00A83497" w:rsidRPr="00D42132" w:rsidRDefault="00A83497" w:rsidP="009E14EB">
            <w:pPr>
              <w:jc w:val="center"/>
              <w:rPr>
                <w:b/>
                <w:bCs/>
                <w:sz w:val="23"/>
                <w:szCs w:val="23"/>
              </w:rPr>
            </w:pPr>
            <w:r>
              <w:rPr>
                <w:b/>
                <w:bCs/>
                <w:sz w:val="23"/>
                <w:szCs w:val="23"/>
              </w:rPr>
              <w:t>1</w:t>
            </w:r>
          </w:p>
        </w:tc>
        <w:tc>
          <w:tcPr>
            <w:tcW w:w="1364" w:type="pct"/>
          </w:tcPr>
          <w:p w:rsidR="00A83497" w:rsidRPr="000029E8" w:rsidRDefault="00A83497" w:rsidP="00332E2C">
            <w:pPr>
              <w:tabs>
                <w:tab w:val="left" w:pos="0"/>
              </w:tabs>
              <w:jc w:val="both"/>
              <w:rPr>
                <w:b/>
                <w:bCs/>
                <w:sz w:val="21"/>
                <w:szCs w:val="21"/>
              </w:rPr>
            </w:pPr>
            <w:r>
              <w:rPr>
                <w:b/>
                <w:bCs/>
                <w:sz w:val="21"/>
                <w:szCs w:val="21"/>
              </w:rPr>
              <w:t>Consultant (</w:t>
            </w:r>
            <w:r w:rsidR="00332E2C">
              <w:rPr>
                <w:b/>
                <w:bCs/>
                <w:sz w:val="21"/>
                <w:szCs w:val="21"/>
              </w:rPr>
              <w:t>Admin-Civil</w:t>
            </w:r>
            <w:r w:rsidR="00CE5724">
              <w:rPr>
                <w:b/>
                <w:bCs/>
                <w:sz w:val="21"/>
                <w:szCs w:val="21"/>
              </w:rPr>
              <w:t xml:space="preserve">  and Electrical</w:t>
            </w:r>
            <w:r>
              <w:rPr>
                <w:b/>
                <w:bCs/>
                <w:sz w:val="21"/>
                <w:szCs w:val="21"/>
              </w:rPr>
              <w:t>)</w:t>
            </w:r>
          </w:p>
        </w:tc>
        <w:tc>
          <w:tcPr>
            <w:tcW w:w="2112" w:type="pct"/>
          </w:tcPr>
          <w:p w:rsidR="00A83497" w:rsidRDefault="00A83497" w:rsidP="009A0F6C">
            <w:pPr>
              <w:jc w:val="both"/>
              <w:rPr>
                <w:sz w:val="21"/>
                <w:szCs w:val="21"/>
              </w:rPr>
            </w:pPr>
            <w:r>
              <w:rPr>
                <w:sz w:val="21"/>
                <w:szCs w:val="21"/>
              </w:rPr>
              <w:t xml:space="preserve">Officers/employees worked </w:t>
            </w:r>
            <w:r w:rsidR="008F6323">
              <w:rPr>
                <w:sz w:val="21"/>
                <w:szCs w:val="21"/>
              </w:rPr>
              <w:t xml:space="preserve"> and retired </w:t>
            </w:r>
            <w:r>
              <w:rPr>
                <w:sz w:val="21"/>
                <w:szCs w:val="21"/>
              </w:rPr>
              <w:t>in cadre o</w:t>
            </w:r>
            <w:r w:rsidR="008F6323">
              <w:rPr>
                <w:sz w:val="21"/>
                <w:szCs w:val="21"/>
              </w:rPr>
              <w:t xml:space="preserve">f Assistant Engineer in Level 7/8 </w:t>
            </w:r>
            <w:r>
              <w:rPr>
                <w:sz w:val="21"/>
                <w:szCs w:val="21"/>
              </w:rPr>
              <w:t>as per 7</w:t>
            </w:r>
            <w:r w:rsidRPr="003D4174">
              <w:rPr>
                <w:sz w:val="21"/>
                <w:szCs w:val="21"/>
                <w:vertAlign w:val="superscript"/>
              </w:rPr>
              <w:t>th</w:t>
            </w:r>
            <w:r>
              <w:rPr>
                <w:sz w:val="21"/>
                <w:szCs w:val="21"/>
              </w:rPr>
              <w:t xml:space="preserve"> CPC in Central and State Governments/PSUs/Autonomous bodies having considerable experience (in relevant subject) of functioning of Central Government Ministries/Departments.</w:t>
            </w:r>
          </w:p>
          <w:p w:rsidR="00A83497" w:rsidRDefault="00A83497" w:rsidP="009A0F6C">
            <w:pPr>
              <w:jc w:val="both"/>
              <w:rPr>
                <w:sz w:val="21"/>
                <w:szCs w:val="21"/>
              </w:rPr>
            </w:pPr>
          </w:p>
          <w:p w:rsidR="00A83497" w:rsidRDefault="00A83497" w:rsidP="009A0F6C">
            <w:pPr>
              <w:jc w:val="both"/>
              <w:rPr>
                <w:sz w:val="21"/>
                <w:szCs w:val="21"/>
              </w:rPr>
            </w:pPr>
            <w:r>
              <w:rPr>
                <w:sz w:val="21"/>
                <w:szCs w:val="21"/>
              </w:rPr>
              <w:t>The Consultants should have excellent communication and interpersonal skills with a strong flair depth handling work relating to Internal Finance as well</w:t>
            </w:r>
          </w:p>
          <w:p w:rsidR="00A83497" w:rsidRDefault="00A83497" w:rsidP="009A0F6C">
            <w:pPr>
              <w:jc w:val="both"/>
              <w:rPr>
                <w:sz w:val="21"/>
                <w:szCs w:val="21"/>
              </w:rPr>
            </w:pPr>
          </w:p>
          <w:p w:rsidR="00A83497" w:rsidRPr="005354CB" w:rsidRDefault="00A83497" w:rsidP="00332E2C">
            <w:pPr>
              <w:jc w:val="both"/>
              <w:rPr>
                <w:sz w:val="21"/>
                <w:szCs w:val="21"/>
              </w:rPr>
            </w:pPr>
            <w:r>
              <w:rPr>
                <w:sz w:val="21"/>
                <w:szCs w:val="21"/>
              </w:rPr>
              <w:t xml:space="preserve">The Consultant should have relevant experience as Engineer and familiar with CPWD/PWD norms/procedures and preparation /scrutiny of estimates /tenders and experience of </w:t>
            </w:r>
            <w:proofErr w:type="gramStart"/>
            <w:r>
              <w:rPr>
                <w:sz w:val="21"/>
                <w:szCs w:val="21"/>
              </w:rPr>
              <w:t>d</w:t>
            </w:r>
            <w:r w:rsidR="00332E2C">
              <w:rPr>
                <w:sz w:val="21"/>
                <w:szCs w:val="21"/>
              </w:rPr>
              <w:t xml:space="preserve">ealing </w:t>
            </w:r>
            <w:r>
              <w:rPr>
                <w:sz w:val="21"/>
                <w:szCs w:val="21"/>
              </w:rPr>
              <w:t xml:space="preserve"> with</w:t>
            </w:r>
            <w:proofErr w:type="gramEnd"/>
            <w:r>
              <w:rPr>
                <w:sz w:val="21"/>
                <w:szCs w:val="21"/>
              </w:rPr>
              <w:t xml:space="preserve"> computers.</w:t>
            </w:r>
          </w:p>
        </w:tc>
        <w:tc>
          <w:tcPr>
            <w:tcW w:w="1037" w:type="pct"/>
          </w:tcPr>
          <w:p w:rsidR="00A83497" w:rsidRPr="000029E8" w:rsidRDefault="00A83497" w:rsidP="009A0F6C">
            <w:pPr>
              <w:jc w:val="both"/>
              <w:rPr>
                <w:sz w:val="21"/>
                <w:szCs w:val="21"/>
              </w:rPr>
            </w:pPr>
            <w:r w:rsidRPr="000029E8">
              <w:rPr>
                <w:sz w:val="21"/>
                <w:szCs w:val="21"/>
              </w:rPr>
              <w:t xml:space="preserve">65 years(Engagement beyond 65 years and </w:t>
            </w:r>
            <w:proofErr w:type="spellStart"/>
            <w:r w:rsidRPr="000029E8">
              <w:rPr>
                <w:sz w:val="21"/>
                <w:szCs w:val="21"/>
              </w:rPr>
              <w:t>upto</w:t>
            </w:r>
            <w:proofErr w:type="spellEnd"/>
            <w:r w:rsidRPr="000029E8">
              <w:rPr>
                <w:sz w:val="21"/>
                <w:szCs w:val="21"/>
              </w:rPr>
              <w:t xml:space="preserve"> 70 years could be with approval of Director General, NIPHM</w:t>
            </w:r>
            <w:r>
              <w:rPr>
                <w:sz w:val="21"/>
                <w:szCs w:val="21"/>
              </w:rPr>
              <w:t>, keeping in view his/her good health appropriate for the work and level of expertise in rare cases</w:t>
            </w:r>
            <w:r w:rsidRPr="000029E8">
              <w:rPr>
                <w:sz w:val="21"/>
                <w:szCs w:val="21"/>
              </w:rPr>
              <w:t>)</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w:t>
      </w:r>
      <w:r w:rsidR="00A76D3B">
        <w:rPr>
          <w:sz w:val="23"/>
          <w:szCs w:val="23"/>
        </w:rPr>
        <w:t xml:space="preserve"> for a period of one year from the date of joining.</w:t>
      </w:r>
      <w:r w:rsidRPr="00D42132">
        <w:rPr>
          <w:sz w:val="23"/>
          <w:szCs w:val="23"/>
        </w:rPr>
        <w:t xml:space="preserve">  NIPHM will not be held responsible to give regular appointment after expiry of the term.  No TA/DA will be admissible for attending the interview.</w:t>
      </w:r>
    </w:p>
    <w:p w:rsidR="007B1D6F" w:rsidRDefault="007B1D6F">
      <w:pPr>
        <w:spacing w:after="200" w:line="276" w:lineRule="auto"/>
        <w:rPr>
          <w:b/>
          <w:bCs/>
          <w:sz w:val="23"/>
          <w:szCs w:val="23"/>
        </w:rPr>
      </w:pPr>
      <w:r>
        <w:rPr>
          <w:b/>
          <w:bCs/>
          <w:sz w:val="23"/>
          <w:szCs w:val="23"/>
        </w:rPr>
        <w:br w:type="page"/>
      </w:r>
    </w:p>
    <w:p w:rsidR="00886F84" w:rsidRDefault="00EF7DE5" w:rsidP="003C3638">
      <w:pPr>
        <w:spacing w:line="276" w:lineRule="auto"/>
        <w:rPr>
          <w:b/>
          <w:bCs/>
          <w:sz w:val="23"/>
          <w:szCs w:val="23"/>
        </w:rPr>
      </w:pPr>
      <w:r w:rsidRPr="00D42132">
        <w:rPr>
          <w:b/>
          <w:bCs/>
          <w:sz w:val="23"/>
          <w:szCs w:val="23"/>
        </w:rPr>
        <w:lastRenderedPageBreak/>
        <w:t>SALARY:</w:t>
      </w:r>
    </w:p>
    <w:p w:rsidR="00A82743" w:rsidRDefault="00A82743" w:rsidP="00A82743">
      <w:pPr>
        <w:jc w:val="both"/>
        <w:rPr>
          <w:b/>
          <w:bCs/>
          <w:sz w:val="21"/>
          <w:szCs w:val="21"/>
        </w:rPr>
      </w:pPr>
      <w:r>
        <w:rPr>
          <w:b/>
          <w:bCs/>
          <w:sz w:val="21"/>
          <w:szCs w:val="21"/>
        </w:rPr>
        <w:t>Remuneration:</w:t>
      </w:r>
    </w:p>
    <w:p w:rsidR="00A82743" w:rsidRPr="007B1D6F" w:rsidRDefault="00A82743" w:rsidP="00A82743">
      <w:pPr>
        <w:jc w:val="both"/>
        <w:rPr>
          <w:sz w:val="21"/>
          <w:szCs w:val="21"/>
        </w:rPr>
      </w:pPr>
      <w:r w:rsidRPr="001A0D45">
        <w:rPr>
          <w:sz w:val="21"/>
          <w:szCs w:val="21"/>
        </w:rPr>
        <w:t>A fixed monthly amount shall be admissible, arrived at by deducting the basic pension from the pay drawn at the time of retirement. The amount of remuneration so fixed shall remain unchanged for the term of the contract. There will be no annual increment / percentage incr</w:t>
      </w:r>
      <w:r>
        <w:rPr>
          <w:sz w:val="21"/>
          <w:szCs w:val="21"/>
        </w:rPr>
        <w:t xml:space="preserve">ease during the contract period as </w:t>
      </w:r>
      <w:proofErr w:type="gramStart"/>
      <w:r>
        <w:rPr>
          <w:sz w:val="21"/>
          <w:szCs w:val="21"/>
        </w:rPr>
        <w:t>per  Ministry</w:t>
      </w:r>
      <w:proofErr w:type="gramEnd"/>
      <w:r>
        <w:rPr>
          <w:sz w:val="21"/>
          <w:szCs w:val="21"/>
        </w:rPr>
        <w:t xml:space="preserve"> of Finance OM 3-25/2020-E.III A dated 09.12.2020.</w:t>
      </w:r>
    </w:p>
    <w:p w:rsidR="003F4624" w:rsidRDefault="003F4624" w:rsidP="00A82743">
      <w:pPr>
        <w:jc w:val="both"/>
        <w:rPr>
          <w:b/>
          <w:bCs/>
          <w:sz w:val="21"/>
          <w:szCs w:val="21"/>
        </w:rPr>
      </w:pPr>
    </w:p>
    <w:p w:rsidR="00A82743" w:rsidRDefault="00A82743" w:rsidP="00A82743">
      <w:pPr>
        <w:jc w:val="both"/>
        <w:rPr>
          <w:b/>
          <w:bCs/>
          <w:sz w:val="21"/>
          <w:szCs w:val="21"/>
        </w:rPr>
      </w:pPr>
      <w:r>
        <w:rPr>
          <w:b/>
          <w:bCs/>
          <w:sz w:val="21"/>
          <w:szCs w:val="21"/>
        </w:rPr>
        <w:t>No Increment, DA and HRA is admissible</w:t>
      </w:r>
    </w:p>
    <w:p w:rsidR="003F4624" w:rsidRDefault="003F4624" w:rsidP="00A82743">
      <w:pPr>
        <w:jc w:val="both"/>
        <w:rPr>
          <w:b/>
          <w:bCs/>
          <w:sz w:val="21"/>
          <w:szCs w:val="21"/>
        </w:rPr>
      </w:pPr>
    </w:p>
    <w:p w:rsidR="00A82743" w:rsidRDefault="00A82743" w:rsidP="00A82743">
      <w:pPr>
        <w:jc w:val="both"/>
        <w:rPr>
          <w:b/>
          <w:bCs/>
          <w:sz w:val="21"/>
          <w:szCs w:val="21"/>
        </w:rPr>
      </w:pPr>
      <w:r>
        <w:rPr>
          <w:b/>
          <w:bCs/>
          <w:sz w:val="21"/>
          <w:szCs w:val="21"/>
        </w:rPr>
        <w:t>Transport Allowance:</w:t>
      </w:r>
    </w:p>
    <w:p w:rsidR="00A82743" w:rsidRDefault="00A82743" w:rsidP="00A82743">
      <w:pPr>
        <w:jc w:val="both"/>
        <w:rPr>
          <w:sz w:val="21"/>
          <w:szCs w:val="21"/>
        </w:rPr>
      </w:pPr>
      <w:r w:rsidRPr="001A0D45">
        <w:rPr>
          <w:sz w:val="21"/>
          <w:szCs w:val="21"/>
        </w:rPr>
        <w:t xml:space="preserve">An appropriate and fixed amount of Transport Allowance for the purpose of commuting between the residence and the place of work shall be allowed not exceeding the rate of applicable to the appointee at the time </w:t>
      </w:r>
      <w:proofErr w:type="gramStart"/>
      <w:r w:rsidRPr="001A0D45">
        <w:rPr>
          <w:sz w:val="21"/>
          <w:szCs w:val="21"/>
        </w:rPr>
        <w:t>of  retirement</w:t>
      </w:r>
      <w:proofErr w:type="gramEnd"/>
      <w:r w:rsidRPr="001A0D45">
        <w:rPr>
          <w:sz w:val="21"/>
          <w:szCs w:val="21"/>
        </w:rPr>
        <w:t>. The amount so fixed shall remain unchanged during the term of appointment. However, retired employees engaged as consultants may be allowed TA/DA on official tour, if any, as per their entitlement at the time of retirement.</w:t>
      </w:r>
    </w:p>
    <w:p w:rsidR="008F6323" w:rsidRDefault="008F6323" w:rsidP="00772186">
      <w:pPr>
        <w:spacing w:line="276" w:lineRule="auto"/>
        <w:rPr>
          <w:b/>
          <w:bCs/>
          <w:sz w:val="23"/>
          <w:szCs w:val="23"/>
          <w:lang w:bidi="hi-IN"/>
        </w:rPr>
      </w:pPr>
    </w:p>
    <w:p w:rsidR="00772186" w:rsidRPr="00D42132" w:rsidRDefault="00A82743" w:rsidP="00772186">
      <w:pPr>
        <w:spacing w:line="276" w:lineRule="auto"/>
        <w:rPr>
          <w:b/>
          <w:bCs/>
          <w:sz w:val="23"/>
          <w:szCs w:val="23"/>
          <w:lang w:bidi="hi-IN"/>
        </w:rPr>
      </w:pPr>
      <w:r>
        <w:rPr>
          <w:b/>
          <w:bCs/>
          <w:sz w:val="23"/>
          <w:szCs w:val="23"/>
          <w:lang w:bidi="hi-IN"/>
        </w:rPr>
        <w:t>D</w:t>
      </w:r>
      <w:r w:rsidR="00772186" w:rsidRPr="00D42132">
        <w:rPr>
          <w:b/>
          <w:bCs/>
          <w:sz w:val="23"/>
          <w:szCs w:val="23"/>
          <w:lang w:bidi="hi-IN"/>
        </w:rPr>
        <w:t>UTIES OF THE POSTS:</w:t>
      </w:r>
    </w:p>
    <w:tbl>
      <w:tblPr>
        <w:tblStyle w:val="TableGrid"/>
        <w:tblW w:w="10096" w:type="dxa"/>
        <w:jc w:val="center"/>
        <w:tblInd w:w="360" w:type="dxa"/>
        <w:tblLook w:val="04A0"/>
      </w:tblPr>
      <w:tblGrid>
        <w:gridCol w:w="366"/>
        <w:gridCol w:w="9730"/>
      </w:tblGrid>
      <w:tr w:rsidR="00D42132" w:rsidRPr="00D42132" w:rsidTr="008F6323">
        <w:trPr>
          <w:trHeight w:val="2511"/>
          <w:jc w:val="center"/>
        </w:trPr>
        <w:tc>
          <w:tcPr>
            <w:tcW w:w="366" w:type="dxa"/>
          </w:tcPr>
          <w:p w:rsidR="00462D3D" w:rsidRPr="00D42132" w:rsidRDefault="001D7630"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9730" w:type="dxa"/>
          </w:tcPr>
          <w:p w:rsidR="004B5BED" w:rsidRPr="005C5B1D" w:rsidRDefault="004B5BED" w:rsidP="004B5BED">
            <w:pPr>
              <w:spacing w:line="276" w:lineRule="auto"/>
              <w:rPr>
                <w:b/>
                <w:bCs/>
                <w:sz w:val="21"/>
                <w:szCs w:val="21"/>
              </w:rPr>
            </w:pPr>
            <w:r w:rsidRPr="000029E8">
              <w:rPr>
                <w:b/>
                <w:bCs/>
                <w:sz w:val="21"/>
                <w:szCs w:val="21"/>
              </w:rPr>
              <w:t xml:space="preserve">Consultant </w:t>
            </w:r>
            <w:r w:rsidR="00A76D3B">
              <w:rPr>
                <w:b/>
                <w:bCs/>
                <w:sz w:val="21"/>
                <w:szCs w:val="21"/>
              </w:rPr>
              <w:t>–(Civil and Electrical works</w:t>
            </w:r>
            <w:r>
              <w:rPr>
                <w:b/>
                <w:bCs/>
                <w:sz w:val="21"/>
                <w:szCs w:val="21"/>
              </w:rPr>
              <w:t>)</w:t>
            </w:r>
          </w:p>
          <w:p w:rsidR="004B5BED" w:rsidRDefault="004B5BED" w:rsidP="004B5BED">
            <w:pPr>
              <w:pStyle w:val="ListParagraph"/>
              <w:numPr>
                <w:ilvl w:val="0"/>
                <w:numId w:val="37"/>
              </w:numPr>
              <w:rPr>
                <w:rFonts w:ascii="Times New Roman" w:hAnsi="Times New Roman" w:cs="Times New Roman"/>
                <w:sz w:val="21"/>
                <w:szCs w:val="21"/>
              </w:rPr>
            </w:pPr>
            <w:r>
              <w:rPr>
                <w:rFonts w:ascii="Times New Roman" w:hAnsi="Times New Roman" w:cs="Times New Roman"/>
                <w:sz w:val="21"/>
                <w:szCs w:val="21"/>
              </w:rPr>
              <w:t xml:space="preserve">Maintenance of Infrastructure facilities </w:t>
            </w:r>
          </w:p>
          <w:p w:rsidR="004B5BED" w:rsidRDefault="004B5BED" w:rsidP="004B5BED">
            <w:pPr>
              <w:pStyle w:val="ListParagraph"/>
              <w:numPr>
                <w:ilvl w:val="0"/>
                <w:numId w:val="37"/>
              </w:numPr>
              <w:rPr>
                <w:rFonts w:ascii="Times New Roman" w:hAnsi="Times New Roman" w:cs="Times New Roman"/>
                <w:sz w:val="21"/>
                <w:szCs w:val="21"/>
              </w:rPr>
            </w:pPr>
            <w:r>
              <w:rPr>
                <w:rFonts w:ascii="Times New Roman" w:hAnsi="Times New Roman" w:cs="Times New Roman"/>
                <w:sz w:val="21"/>
                <w:szCs w:val="21"/>
              </w:rPr>
              <w:t>Estate Management</w:t>
            </w:r>
          </w:p>
          <w:p w:rsidR="004B5BED" w:rsidRDefault="004B5BED" w:rsidP="004B5BED">
            <w:pPr>
              <w:pStyle w:val="ListParagraph"/>
              <w:numPr>
                <w:ilvl w:val="0"/>
                <w:numId w:val="37"/>
              </w:numPr>
              <w:rPr>
                <w:rFonts w:ascii="Times New Roman" w:hAnsi="Times New Roman" w:cs="Times New Roman"/>
                <w:sz w:val="21"/>
                <w:szCs w:val="21"/>
              </w:rPr>
            </w:pPr>
            <w:r>
              <w:rPr>
                <w:rFonts w:ascii="Times New Roman" w:hAnsi="Times New Roman" w:cs="Times New Roman"/>
                <w:sz w:val="21"/>
                <w:szCs w:val="21"/>
              </w:rPr>
              <w:t>Monitoring and supervision of construction work and quality check (civil and electrical posts)</w:t>
            </w:r>
          </w:p>
          <w:p w:rsidR="004B5BED" w:rsidRDefault="004B5BED" w:rsidP="004B5BED">
            <w:pPr>
              <w:pStyle w:val="ListParagraph"/>
              <w:numPr>
                <w:ilvl w:val="0"/>
                <w:numId w:val="37"/>
              </w:numPr>
              <w:rPr>
                <w:rFonts w:ascii="Times New Roman" w:hAnsi="Times New Roman" w:cs="Times New Roman"/>
                <w:sz w:val="21"/>
                <w:szCs w:val="21"/>
              </w:rPr>
            </w:pPr>
            <w:r>
              <w:rPr>
                <w:rFonts w:ascii="Times New Roman" w:hAnsi="Times New Roman" w:cs="Times New Roman"/>
                <w:sz w:val="21"/>
                <w:szCs w:val="21"/>
              </w:rPr>
              <w:t>Maintenance of all civil and electrical works at NIPHM</w:t>
            </w:r>
          </w:p>
          <w:p w:rsidR="004B5BED" w:rsidRDefault="004B5BED" w:rsidP="004B5BED">
            <w:pPr>
              <w:pStyle w:val="ListParagraph"/>
              <w:numPr>
                <w:ilvl w:val="0"/>
                <w:numId w:val="37"/>
              </w:numPr>
              <w:rPr>
                <w:rFonts w:ascii="Times New Roman" w:hAnsi="Times New Roman" w:cs="Times New Roman"/>
                <w:sz w:val="21"/>
                <w:szCs w:val="21"/>
              </w:rPr>
            </w:pPr>
            <w:r>
              <w:rPr>
                <w:rFonts w:ascii="Times New Roman" w:hAnsi="Times New Roman" w:cs="Times New Roman"/>
                <w:sz w:val="21"/>
                <w:szCs w:val="21"/>
              </w:rPr>
              <w:t>Preparation and Scrutiny of estimates and tenders etc</w:t>
            </w:r>
          </w:p>
          <w:p w:rsidR="004B5BED" w:rsidRDefault="004B5BED" w:rsidP="004B5BED">
            <w:pPr>
              <w:pStyle w:val="ListParagraph"/>
              <w:numPr>
                <w:ilvl w:val="0"/>
                <w:numId w:val="37"/>
              </w:numPr>
              <w:rPr>
                <w:rFonts w:ascii="Times New Roman" w:hAnsi="Times New Roman" w:cs="Times New Roman"/>
                <w:sz w:val="21"/>
                <w:szCs w:val="21"/>
              </w:rPr>
            </w:pPr>
            <w:r>
              <w:rPr>
                <w:rFonts w:ascii="Times New Roman" w:hAnsi="Times New Roman" w:cs="Times New Roman"/>
                <w:sz w:val="21"/>
                <w:szCs w:val="21"/>
              </w:rPr>
              <w:t>Knowledge of computers</w:t>
            </w:r>
          </w:p>
          <w:p w:rsidR="004B5BED" w:rsidRDefault="004B5BED" w:rsidP="004B5BED">
            <w:pPr>
              <w:pStyle w:val="ListParagraph"/>
              <w:numPr>
                <w:ilvl w:val="0"/>
                <w:numId w:val="37"/>
              </w:numPr>
              <w:rPr>
                <w:rFonts w:ascii="Times New Roman" w:hAnsi="Times New Roman" w:cs="Times New Roman"/>
                <w:sz w:val="21"/>
                <w:szCs w:val="21"/>
              </w:rPr>
            </w:pPr>
            <w:r>
              <w:rPr>
                <w:rFonts w:ascii="Times New Roman" w:hAnsi="Times New Roman" w:cs="Times New Roman"/>
                <w:sz w:val="21"/>
                <w:szCs w:val="21"/>
              </w:rPr>
              <w:t>CPWD, PWD works</w:t>
            </w:r>
          </w:p>
          <w:p w:rsidR="00D42132" w:rsidRPr="00767F31" w:rsidRDefault="004B5BED" w:rsidP="00767F31">
            <w:pPr>
              <w:pStyle w:val="ListParagraph"/>
              <w:numPr>
                <w:ilvl w:val="0"/>
                <w:numId w:val="37"/>
              </w:numPr>
              <w:rPr>
                <w:rFonts w:ascii="Times New Roman" w:hAnsi="Times New Roman" w:cs="Times New Roman"/>
                <w:sz w:val="21"/>
                <w:szCs w:val="21"/>
              </w:rPr>
            </w:pPr>
            <w:r w:rsidRPr="00767F31">
              <w:rPr>
                <w:rFonts w:ascii="Times New Roman" w:hAnsi="Times New Roman" w:cs="Times New Roman"/>
                <w:sz w:val="21"/>
                <w:szCs w:val="21"/>
              </w:rPr>
              <w:t>Any other duties assigned  by the Competent Authority from time to time</w:t>
            </w:r>
          </w:p>
        </w:tc>
      </w:tr>
    </w:tbl>
    <w:p w:rsidR="003F4624" w:rsidRDefault="003F4624"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A76D3B" w:rsidRPr="00A76D3B"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A76D3B">
        <w:rPr>
          <w:rFonts w:ascii="Times New Roman" w:hAnsi="Times New Roman"/>
        </w:rPr>
        <w:t xml:space="preserve">The position of Consultants is purely on contractual basis for a period of </w:t>
      </w:r>
      <w:r w:rsidRPr="00A76D3B">
        <w:rPr>
          <w:rFonts w:ascii="Times New Roman" w:hAnsi="Times New Roman"/>
          <w:u w:val="single"/>
        </w:rPr>
        <w:t>One year</w:t>
      </w:r>
      <w:r w:rsidR="00A76D3B">
        <w:rPr>
          <w:rFonts w:ascii="Times New Roman" w:hAnsi="Times New Roman"/>
          <w:u w:val="single"/>
        </w:rPr>
        <w:t>.</w:t>
      </w:r>
    </w:p>
    <w:p w:rsidR="00CF5986" w:rsidRPr="00A76D3B"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A76D3B">
        <w:rPr>
          <w:rFonts w:ascii="Times New Roman" w:hAnsi="Times New Roman"/>
        </w:rPr>
        <w:t>The continuance of Consultants during the said period of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w:t>
      </w:r>
      <w:r w:rsidR="00A76D3B">
        <w:rPr>
          <w:rFonts w:ascii="Times New Roman" w:hAnsi="Times New Roman"/>
        </w:rPr>
        <w:t>ultants</w:t>
      </w:r>
      <w:r w:rsidRPr="00A76D3B">
        <w:rPr>
          <w:rFonts w:ascii="Times New Roman" w:hAnsi="Times New Roman"/>
        </w:rPr>
        <w:t xml:space="preserve"> shall stand terminated automatically on expiry of the </w:t>
      </w:r>
      <w:r w:rsidRPr="00A76D3B">
        <w:rPr>
          <w:rFonts w:ascii="Times New Roman" w:hAnsi="Times New Roman"/>
          <w:i/>
          <w:iCs/>
        </w:rPr>
        <w:t>contract</w:t>
      </w:r>
      <w:r w:rsidRPr="00A76D3B">
        <w:rPr>
          <w:rFonts w:ascii="Times New Roman" w:hAnsi="Times New Roman"/>
        </w:rPr>
        <w:t xml:space="preserve"> period unless it is extended in writing. </w:t>
      </w:r>
    </w:p>
    <w:p w:rsidR="0054517C" w:rsidRPr="00F12E50"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The candidates have to produce all the original certificates / documents at the time of Interview</w:t>
      </w:r>
      <w:r w:rsidR="008B4A14" w:rsidRPr="00F12E50">
        <w:rPr>
          <w:rFonts w:ascii="Times New Roman" w:hAnsi="Times New Roman" w:cs="Times New Roman"/>
        </w:rPr>
        <w:t xml:space="preserve"> for verification</w:t>
      </w:r>
      <w:r w:rsidRPr="00F12E50">
        <w:rPr>
          <w:rFonts w:ascii="Times New Roman" w:hAnsi="Times New Roman" w:cs="Times New Roman"/>
        </w:rPr>
        <w:t>.  Failure to bring the same will render ineligible to attend PPT &amp; Interview.</w:t>
      </w:r>
    </w:p>
    <w:p w:rsidR="0054517C" w:rsidRPr="00F12E50"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No TA/DA will be admissible for attending the interview</w:t>
      </w:r>
      <w:r w:rsidR="00C45332" w:rsidRPr="00F12E50">
        <w:rPr>
          <w:rFonts w:ascii="Times New Roman" w:hAnsi="Times New Roman" w:cs="Times New Roman"/>
        </w:rPr>
        <w:t>.</w:t>
      </w:r>
    </w:p>
    <w:p w:rsidR="008C1CAF"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Self-attested copies of all educational qualif</w:t>
      </w:r>
      <w:r w:rsidR="00886F84" w:rsidRPr="00F12E50">
        <w:rPr>
          <w:rFonts w:ascii="Times New Roman" w:hAnsi="Times New Roman" w:cs="Times New Roman"/>
        </w:rPr>
        <w:t xml:space="preserve">ications along with experience </w:t>
      </w:r>
      <w:r w:rsidRPr="00F12E50">
        <w:rPr>
          <w:rFonts w:ascii="Times New Roman" w:hAnsi="Times New Roman" w:cs="Times New Roman"/>
        </w:rPr>
        <w:t xml:space="preserve">certificates are required to be submitted invariably.  </w:t>
      </w:r>
    </w:p>
    <w:p w:rsidR="00EF7DE5" w:rsidRPr="00F12E50"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F12E50">
        <w:rPr>
          <w:rFonts w:ascii="Times New Roman" w:hAnsi="Times New Roman" w:cs="Times New Roman"/>
        </w:rPr>
        <w:t xml:space="preserve">Age and educational qualifications may be relaxed in exceptional cases by the </w:t>
      </w:r>
      <w:r w:rsidR="0054517C" w:rsidRPr="00F12E50">
        <w:rPr>
          <w:rFonts w:ascii="Times New Roman" w:hAnsi="Times New Roman" w:cs="Times New Roman"/>
        </w:rPr>
        <w:t>Institute.</w:t>
      </w:r>
    </w:p>
    <w:p w:rsidR="0054517C" w:rsidRPr="00F12E50"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F12E50">
        <w:rPr>
          <w:rFonts w:ascii="Times New Roman" w:hAnsi="Times New Roman"/>
        </w:rPr>
        <w:t xml:space="preserve">The Consultants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AC6B13"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AC6B13" w:rsidRDefault="0054517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 shall be engaged on full time basis and will not be allowed to undertake any other work or to accept or hold another appointment with or without remuneration elsewhere. </w:t>
      </w:r>
    </w:p>
    <w:p w:rsidR="00D20D8B"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 Consultants shall give a declaration to the effect that he/she is not drawing any other scholarship/fellowship or is employed elsewhere in the form prescribed.</w:t>
      </w:r>
    </w:p>
    <w:p w:rsidR="003F4624" w:rsidRPr="003F4624" w:rsidRDefault="003F4624" w:rsidP="003F4624">
      <w:pPr>
        <w:tabs>
          <w:tab w:val="left" w:pos="284"/>
          <w:tab w:val="left" w:pos="1276"/>
        </w:tabs>
        <w:autoSpaceDE w:val="0"/>
        <w:autoSpaceDN w:val="0"/>
        <w:adjustRightInd w:val="0"/>
        <w:spacing w:after="80"/>
        <w:jc w:val="both"/>
        <w:rPr>
          <w:sz w:val="23"/>
          <w:szCs w:val="23"/>
        </w:rPr>
      </w:pP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lastRenderedPageBreak/>
        <w:t xml:space="preserve">NIPHM will have full intellectual property rights/proprietary rights on research outputs of the Consultants with reference to work done during the period of working in the NIPHM as per the provisions of “Guidelines for Intellectual Property Management and Technology Transfer / Commercialization” </w:t>
      </w:r>
      <w:r w:rsidRPr="00AC6B13">
        <w:rPr>
          <w:rFonts w:ascii="Times New Roman" w:hAnsi="Times New Roman"/>
          <w:i/>
          <w:iCs/>
          <w:sz w:val="23"/>
          <w:szCs w:val="23"/>
        </w:rPr>
        <w:t>mutatis mutandis</w:t>
      </w:r>
      <w:r w:rsidRPr="00AC6B13">
        <w:rPr>
          <w:rFonts w:ascii="Times New Roman" w:hAnsi="Times New Roman"/>
          <w:sz w:val="23"/>
          <w:szCs w:val="23"/>
        </w:rPr>
        <w:t>. The Consultants shal</w:t>
      </w:r>
      <w:r w:rsidR="00C41317" w:rsidRPr="00AC6B13">
        <w:rPr>
          <w:rFonts w:ascii="Times New Roman" w:hAnsi="Times New Roman"/>
          <w:sz w:val="23"/>
          <w:szCs w:val="23"/>
        </w:rPr>
        <w:t>l have no right in this regard.</w:t>
      </w:r>
    </w:p>
    <w:p w:rsidR="0054517C" w:rsidRPr="00AC6B13" w:rsidRDefault="00A76D3B"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w:t>
      </w:r>
      <w:r w:rsidR="0054517C" w:rsidRPr="00AC6B13">
        <w:rPr>
          <w:rFonts w:ascii="Times New Roman" w:hAnsi="Times New Roman"/>
          <w:sz w:val="23"/>
          <w:szCs w:val="23"/>
        </w:rPr>
        <w:t xml:space="preserve"> will be under the administrative control of the </w:t>
      </w:r>
      <w:r w:rsidR="00CE5724">
        <w:rPr>
          <w:rFonts w:ascii="Times New Roman" w:hAnsi="Times New Roman"/>
          <w:sz w:val="23"/>
          <w:szCs w:val="23"/>
        </w:rPr>
        <w:t>Head of department</w:t>
      </w:r>
      <w:r w:rsidR="0054517C" w:rsidRPr="00AC6B13">
        <w:rPr>
          <w:rFonts w:ascii="Times New Roman" w:hAnsi="Times New Roman"/>
          <w:sz w:val="23"/>
          <w:szCs w:val="23"/>
        </w:rPr>
        <w:t xml:space="preserve"> of the concerned Division at NIPHM. The</w:t>
      </w:r>
      <w:r w:rsidR="00C76007">
        <w:rPr>
          <w:rFonts w:ascii="Times New Roman" w:hAnsi="Times New Roman"/>
          <w:sz w:val="23"/>
          <w:szCs w:val="23"/>
        </w:rPr>
        <w:t>y</w:t>
      </w:r>
      <w:bookmarkStart w:id="0" w:name="_GoBack"/>
      <w:bookmarkEnd w:id="0"/>
      <w:r w:rsidR="0054517C" w:rsidRPr="00AC6B13">
        <w:rPr>
          <w:rFonts w:ascii="Times New Roman" w:hAnsi="Times New Roman"/>
          <w:sz w:val="23"/>
          <w:szCs w:val="23"/>
        </w:rPr>
        <w:t xml:space="preserve"> will be subject to the Administrative, financial and disciplinary regulations of the NIPHM.  </w:t>
      </w:r>
      <w:r>
        <w:rPr>
          <w:rFonts w:ascii="Times New Roman" w:hAnsi="Times New Roman"/>
          <w:sz w:val="23"/>
          <w:szCs w:val="23"/>
        </w:rPr>
        <w:t xml:space="preserve">Consultant </w:t>
      </w:r>
      <w:r w:rsidR="0054517C" w:rsidRPr="00AC6B13">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Their headquarters will be at Hyderabad (OR) will b</w:t>
      </w:r>
      <w:r w:rsidR="00A76D3B">
        <w:rPr>
          <w:rFonts w:ascii="Times New Roman" w:hAnsi="Times New Roman"/>
          <w:sz w:val="23"/>
          <w:szCs w:val="23"/>
        </w:rPr>
        <w:t>e as necessitated by the requirement</w:t>
      </w:r>
      <w:r w:rsidRPr="00AC6B13">
        <w:rPr>
          <w:rFonts w:ascii="Times New Roman" w:hAnsi="Times New Roman"/>
          <w:sz w:val="23"/>
          <w:szCs w:val="23"/>
        </w:rPr>
        <w:t>.</w:t>
      </w:r>
    </w:p>
    <w:p w:rsidR="008C1CAF"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 will not be entitled to (i) General Provident Fund, (ii) NIPHM Group Insurance Scheme, (iii) All other service benefits allowed to regular employees.  </w:t>
      </w:r>
      <w:proofErr w:type="spellStart"/>
      <w:r w:rsidRPr="00AC6B13">
        <w:rPr>
          <w:rFonts w:ascii="Times New Roman" w:hAnsi="Times New Roman"/>
          <w:sz w:val="23"/>
          <w:szCs w:val="23"/>
        </w:rPr>
        <w:t>He/She</w:t>
      </w:r>
      <w:proofErr w:type="spellEnd"/>
      <w:r w:rsidRPr="00AC6B13">
        <w:rPr>
          <w:rFonts w:ascii="Times New Roman" w:hAnsi="Times New Roman"/>
          <w:sz w:val="23"/>
          <w:szCs w:val="23"/>
        </w:rPr>
        <w:t xml:space="preserve"> will not be entitled to any travelling allowance at the time of joining and leaving NIPHM.</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 will be entitled to admissible tour TA &amp; DA as per NIPHM rules.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Income tax will be deducted from </w:t>
      </w:r>
      <w:r w:rsidR="00A76D3B">
        <w:rPr>
          <w:rFonts w:ascii="Times New Roman" w:hAnsi="Times New Roman"/>
          <w:sz w:val="23"/>
          <w:szCs w:val="23"/>
        </w:rPr>
        <w:t>the emoluments of Consultants</w:t>
      </w:r>
      <w:r w:rsidRPr="00AC6B13">
        <w:rPr>
          <w:rFonts w:ascii="Times New Roman" w:hAnsi="Times New Roman"/>
          <w:sz w:val="23"/>
          <w:szCs w:val="23"/>
        </w:rPr>
        <w:t xml:space="preserve"> at source as applicable. </w:t>
      </w:r>
    </w:p>
    <w:p w:rsidR="0054517C"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The Consultants is required to produce all the original certificates of educational qualifications, experience at the time of joining at NIPHM for verification. </w:t>
      </w:r>
    </w:p>
    <w:p w:rsidR="001D7630" w:rsidRPr="004B5BED" w:rsidRDefault="0054517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Consultants will not be entitled to any Medical benefit &amp; allowances.</w:t>
      </w:r>
    </w:p>
    <w:p w:rsidR="00B151B9" w:rsidRPr="00AC6B13" w:rsidRDefault="00A76D3B"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w:t>
      </w:r>
      <w:r w:rsidR="0054517C" w:rsidRPr="00AC6B13">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w:t>
      </w:r>
      <w:r>
        <w:rPr>
          <w:rFonts w:ascii="Times New Roman" w:hAnsi="Times New Roman"/>
          <w:sz w:val="23"/>
          <w:szCs w:val="23"/>
        </w:rPr>
        <w:t xml:space="preserve"> contract period</w:t>
      </w:r>
      <w:r w:rsidR="0054517C" w:rsidRPr="00AC6B13">
        <w:rPr>
          <w:rFonts w:ascii="Times New Roman" w:hAnsi="Times New Roman"/>
          <w:sz w:val="23"/>
          <w:szCs w:val="23"/>
        </w:rPr>
        <w:t>.</w:t>
      </w:r>
    </w:p>
    <w:p w:rsidR="00B151B9" w:rsidRPr="00AC6B13"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cs="Times New Roman"/>
          <w:sz w:val="23"/>
          <w:szCs w:val="23"/>
        </w:rPr>
        <w:t>No correspondence will be entertained with the non-shortlisted or non-selected candidates.</w:t>
      </w:r>
    </w:p>
    <w:p w:rsidR="00B151B9" w:rsidRPr="00AC6B13"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AC6B13">
        <w:rPr>
          <w:rFonts w:ascii="Times New Roman" w:hAnsi="Times New Roman"/>
          <w:sz w:val="23"/>
          <w:szCs w:val="23"/>
        </w:rPr>
        <w:t xml:space="preserve">In case of any dispute which may arise out of or in connection with this </w:t>
      </w:r>
      <w:r w:rsidR="009005C9" w:rsidRPr="00AC6B13">
        <w:rPr>
          <w:rFonts w:ascii="Times New Roman" w:hAnsi="Times New Roman"/>
          <w:sz w:val="23"/>
          <w:szCs w:val="23"/>
        </w:rPr>
        <w:t>advertisement/</w:t>
      </w:r>
      <w:r w:rsidRPr="00AC6B13">
        <w:rPr>
          <w:rFonts w:ascii="Times New Roman" w:hAnsi="Times New Roman"/>
          <w:sz w:val="23"/>
          <w:szCs w:val="23"/>
        </w:rPr>
        <w:t>notification</w:t>
      </w:r>
      <w:r w:rsidR="009005C9" w:rsidRPr="00AC6B13">
        <w:rPr>
          <w:rFonts w:ascii="Times New Roman" w:hAnsi="Times New Roman"/>
          <w:sz w:val="23"/>
          <w:szCs w:val="23"/>
        </w:rPr>
        <w:t>,</w:t>
      </w:r>
      <w:r w:rsidRPr="00AC6B13">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3F4624" w:rsidRDefault="003F4624" w:rsidP="007B1D6F">
      <w:pPr>
        <w:spacing w:after="80"/>
        <w:ind w:left="6480"/>
        <w:jc w:val="center"/>
        <w:rPr>
          <w:b/>
          <w:bCs/>
          <w:sz w:val="23"/>
          <w:szCs w:val="23"/>
        </w:rPr>
      </w:pPr>
    </w:p>
    <w:p w:rsidR="003F4624" w:rsidRDefault="008E43FE" w:rsidP="007B1D6F">
      <w:pPr>
        <w:spacing w:after="80"/>
        <w:ind w:left="6480"/>
        <w:jc w:val="center"/>
        <w:rPr>
          <w:b/>
          <w:bCs/>
          <w:sz w:val="23"/>
          <w:szCs w:val="23"/>
        </w:rPr>
      </w:pPr>
      <w:proofErr w:type="spellStart"/>
      <w:proofErr w:type="gramStart"/>
      <w:r>
        <w:rPr>
          <w:b/>
          <w:bCs/>
          <w:sz w:val="23"/>
          <w:szCs w:val="23"/>
        </w:rPr>
        <w:t>Sd</w:t>
      </w:r>
      <w:proofErr w:type="spellEnd"/>
      <w:proofErr w:type="gramEnd"/>
      <w:r>
        <w:rPr>
          <w:b/>
          <w:bCs/>
          <w:sz w:val="23"/>
          <w:szCs w:val="23"/>
        </w:rPr>
        <w:t>/-</w:t>
      </w:r>
    </w:p>
    <w:p w:rsidR="00224AA6" w:rsidRPr="00AC6B13" w:rsidRDefault="004B5BED" w:rsidP="007B1D6F">
      <w:pPr>
        <w:spacing w:after="80"/>
        <w:ind w:left="6480"/>
        <w:jc w:val="center"/>
        <w:rPr>
          <w:b/>
          <w:bCs/>
          <w:sz w:val="23"/>
          <w:szCs w:val="23"/>
        </w:rPr>
      </w:pPr>
      <w:r>
        <w:rPr>
          <w:b/>
          <w:bCs/>
          <w:sz w:val="23"/>
          <w:szCs w:val="23"/>
        </w:rPr>
        <w:t xml:space="preserve">REGISTRAR </w:t>
      </w:r>
      <w:r w:rsidR="005D717F"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7F1FDC" w:rsidRPr="007F1FDC">
        <w:rPr>
          <w:noProof/>
          <w:lang w:val="en-IN" w:eastAsia="en-IN" w:bidi="hi-IN"/>
        </w:rPr>
        <w:lastRenderedPageBreak/>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DA45DB"/>
    <w:multiLevelType w:val="hybridMultilevel"/>
    <w:tmpl w:val="2D58E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8">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1">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47A7C"/>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18">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9">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2">
    <w:nsid w:val="6C0377EC"/>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3">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6">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7">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9"/>
  </w:num>
  <w:num w:numId="7">
    <w:abstractNumId w:val="9"/>
  </w:num>
  <w:num w:numId="8">
    <w:abstractNumId w:val="3"/>
  </w:num>
  <w:num w:numId="9">
    <w:abstractNumId w:val="8"/>
  </w:num>
  <w:num w:numId="10">
    <w:abstractNumId w:val="34"/>
  </w:num>
  <w:num w:numId="11">
    <w:abstractNumId w:val="37"/>
  </w:num>
  <w:num w:numId="12">
    <w:abstractNumId w:val="33"/>
  </w:num>
  <w:num w:numId="13">
    <w:abstractNumId w:val="30"/>
  </w:num>
  <w:num w:numId="14">
    <w:abstractNumId w:val="25"/>
  </w:num>
  <w:num w:numId="15">
    <w:abstractNumId w:val="16"/>
  </w:num>
  <w:num w:numId="16">
    <w:abstractNumId w:val="13"/>
  </w:num>
  <w:num w:numId="17">
    <w:abstractNumId w:val="23"/>
  </w:num>
  <w:num w:numId="18">
    <w:abstractNumId w:val="15"/>
  </w:num>
  <w:num w:numId="19">
    <w:abstractNumId w:val="19"/>
  </w:num>
  <w:num w:numId="20">
    <w:abstractNumId w:val="4"/>
  </w:num>
  <w:num w:numId="21">
    <w:abstractNumId w:val="7"/>
  </w:num>
  <w:num w:numId="22">
    <w:abstractNumId w:val="31"/>
  </w:num>
  <w:num w:numId="23">
    <w:abstractNumId w:val="35"/>
  </w:num>
  <w:num w:numId="24">
    <w:abstractNumId w:val="18"/>
  </w:num>
  <w:num w:numId="25">
    <w:abstractNumId w:val="11"/>
  </w:num>
  <w:num w:numId="26">
    <w:abstractNumId w:val="24"/>
  </w:num>
  <w:num w:numId="27">
    <w:abstractNumId w:val="36"/>
  </w:num>
  <w:num w:numId="28">
    <w:abstractNumId w:val="1"/>
  </w:num>
  <w:num w:numId="29">
    <w:abstractNumId w:val="27"/>
  </w:num>
  <w:num w:numId="30">
    <w:abstractNumId w:val="1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0"/>
  </w:num>
  <w:num w:numId="35">
    <w:abstractNumId w:val="28"/>
  </w:num>
  <w:num w:numId="36">
    <w:abstractNumId w:val="21"/>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2"/>
  </w:num>
  <w:num w:numId="40">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19DF"/>
    <w:rsid w:val="0001170F"/>
    <w:rsid w:val="00012766"/>
    <w:rsid w:val="00015B90"/>
    <w:rsid w:val="00050FED"/>
    <w:rsid w:val="00066C88"/>
    <w:rsid w:val="000A752D"/>
    <w:rsid w:val="000B099C"/>
    <w:rsid w:val="000B15BA"/>
    <w:rsid w:val="000E19BA"/>
    <w:rsid w:val="000E28B0"/>
    <w:rsid w:val="000F02E6"/>
    <w:rsid w:val="00103DF7"/>
    <w:rsid w:val="0013660D"/>
    <w:rsid w:val="00136FF8"/>
    <w:rsid w:val="00146E45"/>
    <w:rsid w:val="00167439"/>
    <w:rsid w:val="0017053C"/>
    <w:rsid w:val="0017434F"/>
    <w:rsid w:val="00174A55"/>
    <w:rsid w:val="001975C0"/>
    <w:rsid w:val="001A52E7"/>
    <w:rsid w:val="001D4BA6"/>
    <w:rsid w:val="001D7630"/>
    <w:rsid w:val="001E1BEB"/>
    <w:rsid w:val="001E32F3"/>
    <w:rsid w:val="001F3FAC"/>
    <w:rsid w:val="0021543D"/>
    <w:rsid w:val="00217175"/>
    <w:rsid w:val="0022180F"/>
    <w:rsid w:val="00224AA6"/>
    <w:rsid w:val="00242168"/>
    <w:rsid w:val="00246569"/>
    <w:rsid w:val="00250756"/>
    <w:rsid w:val="0029586C"/>
    <w:rsid w:val="002A5B7C"/>
    <w:rsid w:val="002B3A13"/>
    <w:rsid w:val="002B4FC1"/>
    <w:rsid w:val="002E6B2E"/>
    <w:rsid w:val="002E7FD2"/>
    <w:rsid w:val="00305E84"/>
    <w:rsid w:val="00310BFB"/>
    <w:rsid w:val="0031341C"/>
    <w:rsid w:val="00332E2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4624"/>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B5BED"/>
    <w:rsid w:val="004C3CD8"/>
    <w:rsid w:val="004C466D"/>
    <w:rsid w:val="004C7A94"/>
    <w:rsid w:val="004E32D4"/>
    <w:rsid w:val="004E6204"/>
    <w:rsid w:val="004F0B79"/>
    <w:rsid w:val="004F1B71"/>
    <w:rsid w:val="004F45E0"/>
    <w:rsid w:val="004F679B"/>
    <w:rsid w:val="00505D1D"/>
    <w:rsid w:val="0052532D"/>
    <w:rsid w:val="0053623A"/>
    <w:rsid w:val="00536A24"/>
    <w:rsid w:val="0054251F"/>
    <w:rsid w:val="00544B3D"/>
    <w:rsid w:val="0054517C"/>
    <w:rsid w:val="005523DA"/>
    <w:rsid w:val="0055265E"/>
    <w:rsid w:val="00554CF3"/>
    <w:rsid w:val="005646DF"/>
    <w:rsid w:val="0059695D"/>
    <w:rsid w:val="005A207B"/>
    <w:rsid w:val="005B6EF8"/>
    <w:rsid w:val="005C10B1"/>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6F4EB4"/>
    <w:rsid w:val="00703E8F"/>
    <w:rsid w:val="00705C1D"/>
    <w:rsid w:val="0072253B"/>
    <w:rsid w:val="00732DB7"/>
    <w:rsid w:val="00734A14"/>
    <w:rsid w:val="00740C0D"/>
    <w:rsid w:val="00767F31"/>
    <w:rsid w:val="00772186"/>
    <w:rsid w:val="0079395A"/>
    <w:rsid w:val="007A3ED0"/>
    <w:rsid w:val="007B1D6F"/>
    <w:rsid w:val="007C0FBF"/>
    <w:rsid w:val="007C4D4F"/>
    <w:rsid w:val="007D04EF"/>
    <w:rsid w:val="007D20AF"/>
    <w:rsid w:val="007D4BA9"/>
    <w:rsid w:val="007D76AB"/>
    <w:rsid w:val="007E6E44"/>
    <w:rsid w:val="007F1FDC"/>
    <w:rsid w:val="007F6277"/>
    <w:rsid w:val="00811B3F"/>
    <w:rsid w:val="00824DFF"/>
    <w:rsid w:val="00827126"/>
    <w:rsid w:val="0083087A"/>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E43FE"/>
    <w:rsid w:val="008F19DF"/>
    <w:rsid w:val="008F6323"/>
    <w:rsid w:val="009005C9"/>
    <w:rsid w:val="009015A7"/>
    <w:rsid w:val="00901D03"/>
    <w:rsid w:val="0090617F"/>
    <w:rsid w:val="009114D9"/>
    <w:rsid w:val="00912943"/>
    <w:rsid w:val="00925472"/>
    <w:rsid w:val="00945D27"/>
    <w:rsid w:val="009542B3"/>
    <w:rsid w:val="00954696"/>
    <w:rsid w:val="009607E4"/>
    <w:rsid w:val="009648A6"/>
    <w:rsid w:val="0098011F"/>
    <w:rsid w:val="00980499"/>
    <w:rsid w:val="0098302C"/>
    <w:rsid w:val="009A19EC"/>
    <w:rsid w:val="009B3AD1"/>
    <w:rsid w:val="009B52D1"/>
    <w:rsid w:val="009C25CF"/>
    <w:rsid w:val="009E14EB"/>
    <w:rsid w:val="009E5DB2"/>
    <w:rsid w:val="009E7B46"/>
    <w:rsid w:val="009F2598"/>
    <w:rsid w:val="009F39B1"/>
    <w:rsid w:val="009F458A"/>
    <w:rsid w:val="009F5ECB"/>
    <w:rsid w:val="00A15CC3"/>
    <w:rsid w:val="00A34C65"/>
    <w:rsid w:val="00A41D50"/>
    <w:rsid w:val="00A46D90"/>
    <w:rsid w:val="00A61C6F"/>
    <w:rsid w:val="00A71616"/>
    <w:rsid w:val="00A76D3B"/>
    <w:rsid w:val="00A77793"/>
    <w:rsid w:val="00A82743"/>
    <w:rsid w:val="00A83497"/>
    <w:rsid w:val="00A8646B"/>
    <w:rsid w:val="00AB0E9D"/>
    <w:rsid w:val="00AB2FC5"/>
    <w:rsid w:val="00AC5343"/>
    <w:rsid w:val="00AC6595"/>
    <w:rsid w:val="00AC6B13"/>
    <w:rsid w:val="00AD3FFB"/>
    <w:rsid w:val="00AE1F4C"/>
    <w:rsid w:val="00AE550B"/>
    <w:rsid w:val="00B12484"/>
    <w:rsid w:val="00B14292"/>
    <w:rsid w:val="00B151B9"/>
    <w:rsid w:val="00B16C39"/>
    <w:rsid w:val="00B23E00"/>
    <w:rsid w:val="00B32184"/>
    <w:rsid w:val="00B4229B"/>
    <w:rsid w:val="00B51861"/>
    <w:rsid w:val="00B57331"/>
    <w:rsid w:val="00B57A03"/>
    <w:rsid w:val="00B85D63"/>
    <w:rsid w:val="00BA1F07"/>
    <w:rsid w:val="00BA234A"/>
    <w:rsid w:val="00BB62EA"/>
    <w:rsid w:val="00BB731D"/>
    <w:rsid w:val="00BC7A95"/>
    <w:rsid w:val="00BE5D6B"/>
    <w:rsid w:val="00C15D84"/>
    <w:rsid w:val="00C20CC6"/>
    <w:rsid w:val="00C21095"/>
    <w:rsid w:val="00C41317"/>
    <w:rsid w:val="00C45332"/>
    <w:rsid w:val="00C62835"/>
    <w:rsid w:val="00C76007"/>
    <w:rsid w:val="00C76554"/>
    <w:rsid w:val="00CB0108"/>
    <w:rsid w:val="00CB6D00"/>
    <w:rsid w:val="00CD7147"/>
    <w:rsid w:val="00CE2763"/>
    <w:rsid w:val="00CE51FB"/>
    <w:rsid w:val="00CE5724"/>
    <w:rsid w:val="00CF5986"/>
    <w:rsid w:val="00D11608"/>
    <w:rsid w:val="00D20D8B"/>
    <w:rsid w:val="00D42132"/>
    <w:rsid w:val="00D52AD2"/>
    <w:rsid w:val="00D728FE"/>
    <w:rsid w:val="00D74452"/>
    <w:rsid w:val="00D97B03"/>
    <w:rsid w:val="00DB2B35"/>
    <w:rsid w:val="00DB6C83"/>
    <w:rsid w:val="00DB7FDE"/>
    <w:rsid w:val="00DD1A42"/>
    <w:rsid w:val="00DE3ACE"/>
    <w:rsid w:val="00E032E1"/>
    <w:rsid w:val="00E12DB5"/>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12E50"/>
    <w:rsid w:val="00F307B7"/>
    <w:rsid w:val="00F40AFF"/>
    <w:rsid w:val="00F45A16"/>
    <w:rsid w:val="00F50463"/>
    <w:rsid w:val="00F66BBF"/>
    <w:rsid w:val="00F732DE"/>
    <w:rsid w:val="00F861B1"/>
    <w:rsid w:val="00F9007F"/>
    <w:rsid w:val="00F931D6"/>
    <w:rsid w:val="00F93FF7"/>
    <w:rsid w:val="00F972AA"/>
    <w:rsid w:val="00FA6BA0"/>
    <w:rsid w:val="00FB4527"/>
    <w:rsid w:val="00FD1B68"/>
    <w:rsid w:val="00FD689A"/>
    <w:rsid w:val="00FE604E"/>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B453-5F8C-4147-A839-C416A173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2021-09-18T05:50:00Z</cp:lastPrinted>
  <dcterms:created xsi:type="dcterms:W3CDTF">2021-09-30T12:02:00Z</dcterms:created>
  <dcterms:modified xsi:type="dcterms:W3CDTF">2021-09-30T12:02:00Z</dcterms:modified>
</cp:coreProperties>
</file>